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67692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E555AA4">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B834E8C">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67.200.20</w:t>
            </w:r>
            <w:r>
              <w:rPr>
                <w:rFonts w:ascii="黑体" w:hAnsi="黑体" w:eastAsia="黑体"/>
                <w:sz w:val="21"/>
                <w:szCs w:val="21"/>
              </w:rPr>
              <w:fldChar w:fldCharType="end"/>
            </w:r>
            <w:bookmarkEnd w:id="0"/>
          </w:p>
        </w:tc>
      </w:tr>
      <w:tr w14:paraId="75BB2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8D1641D">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5C162D2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23FA803B">
                  <w:pPr>
                    <w:pStyle w:val="61"/>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Pr>
                      <w:rFonts w:hint="eastAsia"/>
                    </w:rPr>
                    <w:t>CSTC</w:t>
                  </w:r>
                </w:p>
              </w:tc>
            </w:tr>
          </w:tbl>
          <w:p w14:paraId="59CF0337">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33</w:t>
            </w:r>
            <w:r>
              <w:rPr>
                <w:rFonts w:ascii="黑体" w:hAnsi="黑体" w:eastAsia="黑体"/>
                <w:sz w:val="21"/>
                <w:szCs w:val="21"/>
              </w:rPr>
              <w:fldChar w:fldCharType="end"/>
            </w:r>
            <w:bookmarkEnd w:id="1"/>
          </w:p>
        </w:tc>
      </w:tr>
    </w:tbl>
    <w:p w14:paraId="2867A6D1">
      <w:pPr>
        <w:pStyle w:val="62"/>
        <w:framePr w:w="9639" w:h="624" w:hRule="exact" w:hSpace="181" w:vSpace="181" w:wrap="around" w:hAnchor="page" w:x="1305" w:y="2269"/>
        <w:rPr>
          <w:rFonts w:hint="eastAsia" w:ascii="黑体" w:hAnsi="黑体" w:eastAsia="黑体"/>
          <w:b w:val="0"/>
          <w:bCs w:val="0"/>
          <w:w w:val="100"/>
          <w:sz w:val="48"/>
          <w:szCs w:val="48"/>
        </w:rPr>
      </w:pPr>
      <w:bookmarkStart w:id="2" w:name="_Hlk26473981"/>
      <w:r>
        <w:rPr>
          <w:rFonts w:hint="eastAsia" w:ascii="黑体" w:eastAsia="黑体"/>
          <w:b w:val="0"/>
          <w:w w:val="100"/>
          <w:sz w:val="48"/>
        </w:rPr>
        <w:t>中国热带作物学会团体</w:t>
      </w:r>
      <w:r>
        <w:rPr>
          <w:rFonts w:hint="eastAsia" w:ascii="黑体" w:hAnsi="黑体" w:eastAsia="黑体"/>
          <w:b w:val="0"/>
          <w:bCs w:val="0"/>
          <w:w w:val="100"/>
          <w:sz w:val="48"/>
          <w:szCs w:val="48"/>
        </w:rPr>
        <w:t>标准</w:t>
      </w:r>
    </w:p>
    <w:bookmarkEnd w:id="2"/>
    <w:p w14:paraId="2B776DA1">
      <w:pPr>
        <w:pStyle w:val="198"/>
        <w:framePr/>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rPr>
          <w:rFonts w:hint="eastAsia"/>
        </w:rPr>
        <w:t>CSTC</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rPr>
          <w:rFonts w:hint="eastAsia"/>
        </w:rPr>
        <w:t>2025</w:t>
      </w:r>
      <w:r>
        <w:fldChar w:fldCharType="end"/>
      </w:r>
      <w:bookmarkEnd w:id="5"/>
    </w:p>
    <w:p w14:paraId="1FB57AD4">
      <w:pPr>
        <w:pStyle w:val="199"/>
        <w:framePr/>
        <w:rPr>
          <w:rFonts w:hint="eastAsia"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1035D97B">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CE4FB94">
      <w:pPr>
        <w:pStyle w:val="62"/>
        <w:framePr w:w="9639" w:h="6976" w:hRule="exact" w:hSpace="0" w:vSpace="0" w:wrap="around" w:hAnchor="page" w:y="6408"/>
        <w:jc w:val="center"/>
        <w:rPr>
          <w:rFonts w:hint="eastAsia" w:ascii="黑体" w:hAnsi="黑体" w:eastAsia="黑体"/>
          <w:b w:val="0"/>
          <w:bCs w:val="0"/>
          <w:w w:val="100"/>
        </w:rPr>
      </w:pPr>
    </w:p>
    <w:p w14:paraId="779449EF">
      <w:pPr>
        <w:pStyle w:val="200"/>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Pr>
          <w:rFonts w:hint="eastAsia"/>
        </w:rPr>
        <w:t>兴隆咖啡师劳务品牌  加工基地建设及评价规范</w:t>
      </w:r>
      <w:r>
        <w:fldChar w:fldCharType="end"/>
      </w:r>
      <w:bookmarkEnd w:id="7"/>
    </w:p>
    <w:p w14:paraId="0EE548B1">
      <w:pPr>
        <w:framePr w:w="9639" w:h="6974" w:hRule="exact" w:wrap="around" w:vAnchor="page" w:hAnchor="page" w:x="1419" w:y="6408" w:anchorLock="1"/>
        <w:ind w:left="-1418"/>
      </w:pPr>
    </w:p>
    <w:p w14:paraId="0D227350">
      <w:pPr>
        <w:pStyle w:val="130"/>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fldChar w:fldCharType="separate"/>
      </w:r>
      <w:r>
        <w:rPr>
          <w:rFonts w:hint="eastAsia" w:eastAsia="黑体"/>
          <w:szCs w:val="28"/>
        </w:rPr>
        <w:t>The labor service brand of Xinglong coffee baristas—Specification for deep processing personnel ability assessment</w:t>
      </w:r>
      <w:r>
        <w:rPr>
          <w:rFonts w:eastAsia="黑体"/>
          <w:szCs w:val="28"/>
        </w:rPr>
        <w:fldChar w:fldCharType="end"/>
      </w:r>
      <w:bookmarkEnd w:id="8"/>
    </w:p>
    <w:p w14:paraId="7DAE82B3">
      <w:pPr>
        <w:framePr w:w="9639" w:h="6974" w:hRule="exact" w:wrap="around" w:vAnchor="page" w:hAnchor="page" w:x="1419" w:y="6408" w:anchorLock="1"/>
        <w:spacing w:line="760" w:lineRule="exact"/>
        <w:ind w:left="-1418"/>
      </w:pPr>
    </w:p>
    <w:p w14:paraId="2AD90789">
      <w:pPr>
        <w:pStyle w:val="130"/>
        <w:framePr w:w="9639" w:h="6974" w:hRule="exact" w:wrap="around" w:vAnchor="page" w:hAnchor="page" w:x="1419" w:y="6408" w:anchorLock="1"/>
        <w:textAlignment w:val="bottom"/>
        <w:rPr>
          <w:rFonts w:eastAsia="黑体"/>
          <w:szCs w:val="28"/>
        </w:rPr>
      </w:pPr>
    </w:p>
    <w:p w14:paraId="6302EC02">
      <w:pPr>
        <w:pStyle w:val="130"/>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14:paraId="0224EF62">
      <w:pPr>
        <w:pStyle w:val="130"/>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0"/>
    </w:p>
    <w:p w14:paraId="5E00303B">
      <w:pPr>
        <w:pStyle w:val="130"/>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14:paraId="48473907">
      <w:pPr>
        <w:pStyle w:val="196"/>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14:paraId="6F639A1B">
      <w:pPr>
        <w:pStyle w:val="197"/>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14:paraId="5B1BF278">
      <w:pPr>
        <w:pStyle w:val="156"/>
        <w:framePr w:h="584" w:hRule="exact" w:hSpace="181" w:vSpace="181" w:wrap="around" w:y="14800"/>
        <w:rPr>
          <w:rFonts w:hint="eastAsia" w:hAnsi="黑体"/>
        </w:rPr>
      </w:pPr>
      <w:r>
        <w:rPr>
          <w:rFonts w:hint="eastAsia" w:hAnsi="黑体"/>
          <w:w w:val="100"/>
          <w:sz w:val="28"/>
        </w:rPr>
        <w:t>中国热带作物学会</w:t>
      </w:r>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5A31DEC0">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63B60F0">
      <w:pPr>
        <w:pStyle w:val="99"/>
        <w:spacing w:before="900" w:after="360"/>
      </w:pPr>
      <w:bookmarkStart w:id="18" w:name="_Toc200652294"/>
      <w:bookmarkStart w:id="19" w:name="BookMark2"/>
      <w:r>
        <w:rPr>
          <w:spacing w:val="320"/>
        </w:rPr>
        <w:t>前</w:t>
      </w:r>
      <w:r>
        <w:t>言</w:t>
      </w:r>
      <w:bookmarkEnd w:id="18"/>
    </w:p>
    <w:p w14:paraId="6F02B452">
      <w:pPr>
        <w:pStyle w:val="38"/>
        <w:ind w:firstLine="420"/>
      </w:pPr>
      <w:r>
        <w:rPr>
          <w:rFonts w:hint="eastAsia"/>
        </w:rPr>
        <w:t>本文件按照GB/T 1.1—2020《标准化工作导则  第1部分：标准化文件的结构和起草规则》的规定起草。</w:t>
      </w:r>
    </w:p>
    <w:p w14:paraId="55CCA586">
      <w:pPr>
        <w:pStyle w:val="38"/>
        <w:ind w:firstLine="420"/>
      </w:pPr>
      <w:r>
        <w:rPr>
          <w:rFonts w:hint="eastAsia" w:hAnsi="宋体" w:cs="宋体"/>
          <w:szCs w:val="21"/>
        </w:rPr>
        <w:t>本文件是T/CSTC XXX《</w:t>
      </w:r>
      <w:r>
        <w:rPr>
          <w:rFonts w:hint="eastAsia"/>
        </w:rPr>
        <w:t>兴隆咖啡师劳务品牌</w:t>
      </w:r>
      <w:r>
        <w:rPr>
          <w:rFonts w:hint="eastAsia" w:hAnsi="宋体" w:cs="宋体"/>
          <w:szCs w:val="21"/>
        </w:rPr>
        <w:t>》的第9部分。T/CSTC XXX包含以下部分：</w:t>
      </w:r>
    </w:p>
    <w:p w14:paraId="26F6E9B6">
      <w:pPr>
        <w:pStyle w:val="38"/>
        <w:ind w:firstLine="420"/>
        <w:rPr>
          <w:rFonts w:hint="eastAsia" w:hAnsi="宋体" w:cs="宋体"/>
          <w:szCs w:val="21"/>
        </w:rPr>
      </w:pPr>
      <w:r>
        <w:rPr>
          <w:rFonts w:hint="eastAsia" w:hAnsi="宋体" w:cs="宋体"/>
          <w:szCs w:val="21"/>
        </w:rPr>
        <w:t>——第1部分：兴隆咖啡师劳务品牌  种植类人员能力评定规范。</w:t>
      </w:r>
    </w:p>
    <w:p w14:paraId="6970B166">
      <w:pPr>
        <w:pStyle w:val="38"/>
        <w:ind w:firstLine="420"/>
        <w:rPr>
          <w:rFonts w:hint="eastAsia" w:hAnsi="宋体" w:cs="宋体"/>
          <w:szCs w:val="21"/>
        </w:rPr>
      </w:pPr>
      <w:r>
        <w:rPr>
          <w:rFonts w:hint="eastAsia" w:hAnsi="宋体" w:cs="宋体"/>
          <w:szCs w:val="21"/>
        </w:rPr>
        <w:t>——第</w:t>
      </w:r>
      <w:r>
        <w:rPr>
          <w:rFonts w:hAnsi="宋体" w:cs="宋体"/>
          <w:szCs w:val="21"/>
        </w:rPr>
        <w:t>2</w:t>
      </w:r>
      <w:r>
        <w:rPr>
          <w:rFonts w:hint="eastAsia" w:hAnsi="宋体" w:cs="宋体"/>
          <w:szCs w:val="21"/>
        </w:rPr>
        <w:t>部分：兴隆咖啡师劳务品牌  初加工人员能力评定规范。</w:t>
      </w:r>
    </w:p>
    <w:p w14:paraId="23527E6F">
      <w:pPr>
        <w:pStyle w:val="38"/>
        <w:ind w:firstLine="420"/>
        <w:rPr>
          <w:rFonts w:hint="eastAsia" w:hAnsi="宋体" w:cs="宋体"/>
          <w:szCs w:val="21"/>
        </w:rPr>
      </w:pPr>
      <w:r>
        <w:rPr>
          <w:rFonts w:hint="eastAsia" w:hAnsi="宋体" w:cs="宋体"/>
          <w:szCs w:val="21"/>
        </w:rPr>
        <w:t>——第</w:t>
      </w:r>
      <w:r>
        <w:rPr>
          <w:rFonts w:hAnsi="宋体" w:cs="宋体"/>
          <w:szCs w:val="21"/>
        </w:rPr>
        <w:t>3</w:t>
      </w:r>
      <w:r>
        <w:rPr>
          <w:rFonts w:hint="eastAsia" w:hAnsi="宋体" w:cs="宋体"/>
          <w:szCs w:val="21"/>
        </w:rPr>
        <w:t>部分：兴隆咖啡师劳务品牌  焙炒加工人员能力评定规范。</w:t>
      </w:r>
    </w:p>
    <w:p w14:paraId="2EC91CC7">
      <w:pPr>
        <w:pStyle w:val="38"/>
        <w:ind w:firstLine="420"/>
        <w:rPr>
          <w:rFonts w:hint="eastAsia" w:hAnsi="宋体" w:cs="宋体"/>
          <w:szCs w:val="21"/>
        </w:rPr>
      </w:pPr>
      <w:r>
        <w:rPr>
          <w:rFonts w:hint="eastAsia" w:hAnsi="宋体" w:cs="宋体"/>
          <w:szCs w:val="21"/>
        </w:rPr>
        <w:t>——第</w:t>
      </w:r>
      <w:r>
        <w:rPr>
          <w:rFonts w:hAnsi="宋体" w:cs="宋体"/>
          <w:szCs w:val="21"/>
        </w:rPr>
        <w:t>4</w:t>
      </w:r>
      <w:r>
        <w:rPr>
          <w:rFonts w:hint="eastAsia" w:hAnsi="宋体" w:cs="宋体"/>
          <w:szCs w:val="21"/>
        </w:rPr>
        <w:t>部分：兴隆咖啡师劳务品牌  饮品制作人员能力评定规范。</w:t>
      </w:r>
    </w:p>
    <w:p w14:paraId="7461B776">
      <w:pPr>
        <w:pStyle w:val="38"/>
        <w:ind w:firstLine="420"/>
        <w:rPr>
          <w:rFonts w:hint="eastAsia" w:hAnsi="宋体" w:cs="宋体"/>
          <w:szCs w:val="21"/>
        </w:rPr>
      </w:pPr>
      <w:r>
        <w:rPr>
          <w:rFonts w:hint="eastAsia" w:hAnsi="宋体" w:cs="宋体"/>
          <w:szCs w:val="21"/>
        </w:rPr>
        <w:t>——第</w:t>
      </w:r>
      <w:r>
        <w:rPr>
          <w:rFonts w:hAnsi="宋体" w:cs="宋体"/>
          <w:szCs w:val="21"/>
        </w:rPr>
        <w:t>5</w:t>
      </w:r>
      <w:r>
        <w:rPr>
          <w:rFonts w:hint="eastAsia" w:hAnsi="宋体" w:cs="宋体"/>
          <w:szCs w:val="21"/>
        </w:rPr>
        <w:t>部分：兴隆咖啡师劳务品牌  深加工人员能力评定规范。</w:t>
      </w:r>
    </w:p>
    <w:p w14:paraId="63C81A68">
      <w:pPr>
        <w:pStyle w:val="38"/>
        <w:ind w:firstLine="420"/>
        <w:rPr>
          <w:rFonts w:hint="eastAsia" w:hAnsi="宋体" w:cs="宋体"/>
          <w:szCs w:val="21"/>
        </w:rPr>
      </w:pPr>
      <w:r>
        <w:rPr>
          <w:rFonts w:hint="eastAsia" w:hAnsi="宋体" w:cs="宋体"/>
          <w:szCs w:val="21"/>
        </w:rPr>
        <w:t>——第</w:t>
      </w:r>
      <w:r>
        <w:rPr>
          <w:rFonts w:hAnsi="宋体" w:cs="宋体"/>
          <w:szCs w:val="21"/>
        </w:rPr>
        <w:t>6</w:t>
      </w:r>
      <w:r>
        <w:rPr>
          <w:rFonts w:hint="eastAsia" w:hAnsi="宋体" w:cs="宋体"/>
          <w:szCs w:val="21"/>
        </w:rPr>
        <w:t>部分：兴隆咖啡师劳务品牌  门店服务类人员能力评定规范。</w:t>
      </w:r>
    </w:p>
    <w:p w14:paraId="0EAA0165">
      <w:pPr>
        <w:pStyle w:val="38"/>
        <w:ind w:firstLine="420"/>
        <w:rPr>
          <w:rFonts w:hint="eastAsia" w:hAnsi="宋体" w:cs="宋体"/>
          <w:szCs w:val="21"/>
        </w:rPr>
      </w:pPr>
      <w:r>
        <w:rPr>
          <w:rFonts w:hint="eastAsia" w:hAnsi="宋体" w:cs="宋体"/>
          <w:szCs w:val="21"/>
        </w:rPr>
        <w:t>——第</w:t>
      </w:r>
      <w:r>
        <w:rPr>
          <w:rFonts w:hAnsi="宋体" w:cs="宋体"/>
          <w:szCs w:val="21"/>
        </w:rPr>
        <w:t>7</w:t>
      </w:r>
      <w:r>
        <w:rPr>
          <w:rFonts w:hint="eastAsia" w:hAnsi="宋体" w:cs="宋体"/>
          <w:szCs w:val="21"/>
        </w:rPr>
        <w:t>部分：兴隆咖啡师劳务品牌  终端门店服务及评价规范。</w:t>
      </w:r>
    </w:p>
    <w:p w14:paraId="2B042B9A">
      <w:pPr>
        <w:pStyle w:val="38"/>
        <w:ind w:firstLine="420"/>
        <w:rPr>
          <w:rFonts w:hint="eastAsia" w:hAnsi="宋体" w:cs="宋体"/>
          <w:szCs w:val="21"/>
        </w:rPr>
      </w:pPr>
      <w:r>
        <w:rPr>
          <w:rFonts w:hint="eastAsia" w:hAnsi="宋体" w:cs="宋体"/>
          <w:szCs w:val="21"/>
        </w:rPr>
        <w:t>——第</w:t>
      </w:r>
      <w:r>
        <w:rPr>
          <w:rFonts w:hAnsi="宋体" w:cs="宋体"/>
          <w:szCs w:val="21"/>
        </w:rPr>
        <w:t>8</w:t>
      </w:r>
      <w:r>
        <w:rPr>
          <w:rFonts w:hint="eastAsia" w:hAnsi="宋体" w:cs="宋体"/>
          <w:szCs w:val="21"/>
        </w:rPr>
        <w:t>部分：兴隆咖啡师劳务品牌  种植基地建设及评价规范。</w:t>
      </w:r>
    </w:p>
    <w:p w14:paraId="5A09775B">
      <w:pPr>
        <w:pStyle w:val="38"/>
        <w:ind w:firstLine="420"/>
      </w:pPr>
      <w:r>
        <w:rPr>
          <w:rFonts w:hint="eastAsia" w:hAnsi="宋体" w:cs="宋体"/>
          <w:szCs w:val="21"/>
        </w:rPr>
        <w:t>——第</w:t>
      </w:r>
      <w:r>
        <w:rPr>
          <w:rFonts w:hAnsi="宋体" w:cs="宋体"/>
          <w:szCs w:val="21"/>
        </w:rPr>
        <w:t>9</w:t>
      </w:r>
      <w:r>
        <w:rPr>
          <w:rFonts w:hint="eastAsia" w:hAnsi="宋体" w:cs="宋体"/>
          <w:szCs w:val="21"/>
        </w:rPr>
        <w:t>部分：兴隆咖啡师劳务品牌  加工基地建设及评价规范。</w:t>
      </w:r>
    </w:p>
    <w:p w14:paraId="3834B1AE">
      <w:pPr>
        <w:pStyle w:val="38"/>
        <w:ind w:firstLine="420"/>
      </w:pPr>
      <w:r>
        <w:rPr>
          <w:rFonts w:hint="eastAsia"/>
        </w:rPr>
        <w:t>请注意本文件的某些内容可能涉及专利。本文件的发布机构不承担识别专利的责任。</w:t>
      </w:r>
    </w:p>
    <w:p w14:paraId="54C36989">
      <w:pPr>
        <w:pStyle w:val="38"/>
        <w:ind w:firstLine="420"/>
      </w:pPr>
      <w:r>
        <w:rPr>
          <w:rFonts w:hint="eastAsia"/>
        </w:rPr>
        <w:t>本文件由</w:t>
      </w:r>
      <w:r>
        <w:rPr>
          <w:rFonts w:hint="eastAsia" w:ascii="Times New Roman"/>
        </w:rPr>
        <w:t>中国热带作物学会</w:t>
      </w:r>
      <w:r>
        <w:rPr>
          <w:rFonts w:hint="eastAsia"/>
        </w:rPr>
        <w:t>提出并归口。</w:t>
      </w:r>
    </w:p>
    <w:p w14:paraId="67B48243">
      <w:pPr>
        <w:pStyle w:val="38"/>
        <w:ind w:firstLine="420"/>
        <w:rPr>
          <w:rFonts w:hint="eastAsia" w:eastAsia="宋体"/>
          <w:lang w:eastAsia="zh-CN"/>
        </w:rPr>
      </w:pPr>
      <w:r>
        <w:rPr>
          <w:rFonts w:hint="eastAsia"/>
        </w:rPr>
        <w:t>本文件起草单位：中国热带农业科学院香料饮料研究所、云南农业大学</w:t>
      </w:r>
      <w:r>
        <w:rPr>
          <w:rFonts w:hint="eastAsia"/>
          <w:lang w:eastAsia="zh-CN"/>
        </w:rPr>
        <w:t>、</w:t>
      </w:r>
      <w:r>
        <w:rPr>
          <w:rFonts w:hint="eastAsia"/>
        </w:rPr>
        <w:t>西北政法大学、西南政法大学新闻传播学院、海南澄迈中等职业技术学校、万宁兴隆咖啡谷归国华侨联合会</w:t>
      </w:r>
      <w:r>
        <w:rPr>
          <w:rFonts w:hint="eastAsia"/>
          <w:lang w:eastAsia="zh-CN"/>
        </w:rPr>
        <w:t>。</w:t>
      </w:r>
    </w:p>
    <w:p w14:paraId="12F627D9">
      <w:pPr>
        <w:pStyle w:val="38"/>
        <w:ind w:firstLine="420"/>
        <w:rPr>
          <w:rFonts w:ascii="Times New Roman"/>
        </w:rPr>
      </w:pPr>
      <w:r>
        <w:rPr>
          <w:rFonts w:hint="eastAsia"/>
        </w:rPr>
        <w:t>本文件主要起草人：闫林、蒋快东、孙江、蔡斐、李丽芬、黄海生、孙燕、庞永青、龙宇宙、黄永衡、郑何美、孙世伟。</w:t>
      </w:r>
    </w:p>
    <w:p w14:paraId="08636BB4">
      <w:pPr>
        <w:pStyle w:val="38"/>
        <w:ind w:firstLine="420"/>
      </w:pPr>
    </w:p>
    <w:p w14:paraId="692790E2">
      <w:pPr>
        <w:pStyle w:val="38"/>
        <w:ind w:firstLine="420"/>
        <w:sectPr>
          <w:headerReference r:id="rId11" w:type="default"/>
          <w:footerReference r:id="rId12" w:type="default"/>
          <w:pgSz w:w="11906" w:h="16838"/>
          <w:pgMar w:top="1928" w:right="1134" w:bottom="1134" w:left="1134" w:header="1418" w:footer="1134" w:gutter="284"/>
          <w:pgNumType w:fmt="upperRoman" w:start="1"/>
          <w:cols w:space="425" w:num="1"/>
          <w:formProt w:val="0"/>
          <w:docGrid w:linePitch="312" w:charSpace="0"/>
        </w:sectPr>
      </w:pPr>
      <w:bookmarkStart w:id="87" w:name="_GoBack"/>
      <w:bookmarkEnd w:id="87"/>
    </w:p>
    <w:bookmarkEnd w:id="19"/>
    <w:p w14:paraId="2DEE2CA8">
      <w:pPr>
        <w:pStyle w:val="101"/>
        <w:spacing w:after="360"/>
      </w:pPr>
      <w:bookmarkStart w:id="20" w:name="BookMark1"/>
      <w:r>
        <w:rPr>
          <w:rFonts w:hint="eastAsia"/>
          <w:spacing w:val="320"/>
        </w:rPr>
        <w:t>目</w:t>
      </w:r>
      <w:r>
        <w:rPr>
          <w:rFonts w:hint="eastAsia"/>
        </w:rPr>
        <w:t>次</w:t>
      </w:r>
    </w:p>
    <w:p w14:paraId="2533FADB">
      <w:pPr>
        <w:pStyle w:val="20"/>
        <w:tabs>
          <w:tab w:val="right" w:leader="dot" w:pos="9344"/>
        </w:tabs>
        <w:spacing w:line="240" w:lineRule="auto"/>
        <w:rPr>
          <w:rFonts w:hint="eastAsia" w:asciiTheme="minorHAnsi" w:hAnsiTheme="minorHAnsi" w:eastAsiaTheme="minorEastAsia" w:cstheme="minorBidi"/>
          <w:szCs w:val="22"/>
        </w:rPr>
      </w:pPr>
      <w:r>
        <w:fldChar w:fldCharType="begin"/>
      </w:r>
      <w:r>
        <w:instrText xml:space="preserve"> </w:instrText>
      </w:r>
      <w:r>
        <w:rPr>
          <w:rFonts w:hint="eastAsia"/>
        </w:rPr>
        <w:instrText xml:space="preserve">TOC \o "1-1" \h \t "标准文件_一级条标题,2,标准文件_二级条标题,3,标准文件_附录一级条标题,2,标准文件_附录二级条标题,3,"</w:instrText>
      </w:r>
      <w:r>
        <w:instrText xml:space="preserve"> </w:instrText>
      </w:r>
      <w:r>
        <w:fldChar w:fldCharType="separate"/>
      </w:r>
      <w:r>
        <w:fldChar w:fldCharType="begin"/>
      </w:r>
      <w:r>
        <w:instrText xml:space="preserve"> HYPERLINK \l "_Toc200652294" </w:instrText>
      </w:r>
      <w:r>
        <w:fldChar w:fldCharType="separate"/>
      </w:r>
      <w:r>
        <w:rPr>
          <w:rStyle w:val="34"/>
          <w:rFonts w:hint="eastAsia"/>
          <w:spacing w:val="320"/>
        </w:rPr>
        <w:t>前</w:t>
      </w:r>
      <w:r>
        <w:rPr>
          <w:rStyle w:val="34"/>
          <w:rFonts w:hint="eastAsia"/>
        </w:rPr>
        <w:t>言</w:t>
      </w:r>
      <w:r>
        <w:tab/>
      </w:r>
      <w:r>
        <w:fldChar w:fldCharType="begin"/>
      </w:r>
      <w:r>
        <w:instrText xml:space="preserve"> PAGEREF _Toc200652294 \h </w:instrText>
      </w:r>
      <w:r>
        <w:fldChar w:fldCharType="separate"/>
      </w:r>
      <w:r>
        <w:t>I</w:t>
      </w:r>
      <w:r>
        <w:fldChar w:fldCharType="end"/>
      </w:r>
      <w:r>
        <w:fldChar w:fldCharType="end"/>
      </w:r>
    </w:p>
    <w:p w14:paraId="562B6485">
      <w:pPr>
        <w:pStyle w:val="20"/>
        <w:tabs>
          <w:tab w:val="right" w:leader="dot" w:pos="9344"/>
        </w:tabs>
        <w:spacing w:line="240" w:lineRule="auto"/>
        <w:rPr>
          <w:rFonts w:hint="eastAsia" w:asciiTheme="minorHAnsi" w:hAnsiTheme="minorHAnsi" w:eastAsiaTheme="minorEastAsia" w:cstheme="minorBidi"/>
          <w:szCs w:val="22"/>
        </w:rPr>
      </w:pPr>
      <w:r>
        <w:fldChar w:fldCharType="begin"/>
      </w:r>
      <w:r>
        <w:instrText xml:space="preserve"> HYPERLINK \l "_Toc200652295" </w:instrText>
      </w:r>
      <w:r>
        <w:fldChar w:fldCharType="separate"/>
      </w:r>
      <w:r>
        <w:rPr>
          <w:rStyle w:val="34"/>
          <w:rFonts w:hint="eastAsia"/>
          <w:spacing w:val="320"/>
        </w:rPr>
        <w:t>引</w:t>
      </w:r>
      <w:r>
        <w:rPr>
          <w:rStyle w:val="34"/>
          <w:rFonts w:hint="eastAsia"/>
        </w:rPr>
        <w:t>言</w:t>
      </w:r>
      <w:r>
        <w:tab/>
      </w:r>
      <w:r>
        <w:fldChar w:fldCharType="begin"/>
      </w:r>
      <w:r>
        <w:instrText xml:space="preserve"> PAGEREF _Toc200652295 \h </w:instrText>
      </w:r>
      <w:r>
        <w:fldChar w:fldCharType="separate"/>
      </w:r>
      <w:r>
        <w:t>II</w:t>
      </w:r>
      <w:r>
        <w:fldChar w:fldCharType="end"/>
      </w:r>
      <w:r>
        <w:fldChar w:fldCharType="end"/>
      </w:r>
    </w:p>
    <w:p w14:paraId="59BC2EA9">
      <w:pPr>
        <w:pStyle w:val="20"/>
        <w:tabs>
          <w:tab w:val="right" w:leader="dot" w:pos="9344"/>
        </w:tabs>
        <w:spacing w:line="240" w:lineRule="auto"/>
        <w:rPr>
          <w:rFonts w:hint="eastAsia" w:asciiTheme="minorHAnsi" w:hAnsiTheme="minorHAnsi" w:eastAsiaTheme="minorEastAsia" w:cstheme="minorBidi"/>
          <w:szCs w:val="22"/>
        </w:rPr>
      </w:pPr>
      <w:r>
        <w:fldChar w:fldCharType="begin"/>
      </w:r>
      <w:r>
        <w:instrText xml:space="preserve"> HYPERLINK \l "_Toc200652296" </w:instrText>
      </w:r>
      <w:r>
        <w:fldChar w:fldCharType="separate"/>
      </w:r>
      <w:r>
        <w:rPr>
          <w:rStyle w:val="34"/>
        </w:rPr>
        <w:t>1</w:t>
      </w:r>
      <w:r>
        <w:rPr>
          <w:rStyle w:val="34"/>
          <w:rFonts w:hint="eastAsia"/>
        </w:rPr>
        <w:t xml:space="preserve"> 范围</w:t>
      </w:r>
      <w:r>
        <w:tab/>
      </w:r>
      <w:r>
        <w:fldChar w:fldCharType="begin"/>
      </w:r>
      <w:r>
        <w:instrText xml:space="preserve"> PAGEREF _Toc200652296 \h </w:instrText>
      </w:r>
      <w:r>
        <w:fldChar w:fldCharType="separate"/>
      </w:r>
      <w:r>
        <w:t>1</w:t>
      </w:r>
      <w:r>
        <w:fldChar w:fldCharType="end"/>
      </w:r>
      <w:r>
        <w:fldChar w:fldCharType="end"/>
      </w:r>
    </w:p>
    <w:p w14:paraId="2356FC43">
      <w:pPr>
        <w:pStyle w:val="20"/>
        <w:tabs>
          <w:tab w:val="right" w:leader="dot" w:pos="9344"/>
        </w:tabs>
        <w:spacing w:line="240" w:lineRule="auto"/>
        <w:rPr>
          <w:rFonts w:hint="eastAsia" w:asciiTheme="minorHAnsi" w:hAnsiTheme="minorHAnsi" w:eastAsiaTheme="minorEastAsia" w:cstheme="minorBidi"/>
          <w:szCs w:val="22"/>
        </w:rPr>
      </w:pPr>
      <w:r>
        <w:fldChar w:fldCharType="begin"/>
      </w:r>
      <w:r>
        <w:instrText xml:space="preserve"> HYPERLINK \l "_Toc200652297" </w:instrText>
      </w:r>
      <w:r>
        <w:fldChar w:fldCharType="separate"/>
      </w:r>
      <w:r>
        <w:rPr>
          <w:rStyle w:val="34"/>
        </w:rPr>
        <w:t>2</w:t>
      </w:r>
      <w:r>
        <w:rPr>
          <w:rStyle w:val="34"/>
          <w:rFonts w:hint="eastAsia"/>
        </w:rPr>
        <w:t xml:space="preserve"> 规范性引用文件</w:t>
      </w:r>
      <w:r>
        <w:tab/>
      </w:r>
      <w:r>
        <w:fldChar w:fldCharType="begin"/>
      </w:r>
      <w:r>
        <w:instrText xml:space="preserve"> PAGEREF _Toc200652297 \h </w:instrText>
      </w:r>
      <w:r>
        <w:fldChar w:fldCharType="separate"/>
      </w:r>
      <w:r>
        <w:t>1</w:t>
      </w:r>
      <w:r>
        <w:fldChar w:fldCharType="end"/>
      </w:r>
      <w:r>
        <w:fldChar w:fldCharType="end"/>
      </w:r>
    </w:p>
    <w:p w14:paraId="5B185B46">
      <w:pPr>
        <w:pStyle w:val="20"/>
        <w:tabs>
          <w:tab w:val="right" w:leader="dot" w:pos="9344"/>
        </w:tabs>
        <w:spacing w:line="240" w:lineRule="auto"/>
        <w:rPr>
          <w:rFonts w:hint="eastAsia" w:asciiTheme="minorHAnsi" w:hAnsiTheme="minorHAnsi" w:eastAsiaTheme="minorEastAsia" w:cstheme="minorBidi"/>
          <w:szCs w:val="22"/>
        </w:rPr>
      </w:pPr>
      <w:r>
        <w:fldChar w:fldCharType="begin"/>
      </w:r>
      <w:r>
        <w:instrText xml:space="preserve"> HYPERLINK \l "_Toc200652298" </w:instrText>
      </w:r>
      <w:r>
        <w:fldChar w:fldCharType="separate"/>
      </w:r>
      <w:r>
        <w:rPr>
          <w:rStyle w:val="34"/>
        </w:rPr>
        <w:t>3</w:t>
      </w:r>
      <w:r>
        <w:rPr>
          <w:rStyle w:val="34"/>
          <w:rFonts w:hint="eastAsia"/>
        </w:rPr>
        <w:t xml:space="preserve"> 术语和定义</w:t>
      </w:r>
      <w:r>
        <w:tab/>
      </w:r>
      <w:r>
        <w:fldChar w:fldCharType="begin"/>
      </w:r>
      <w:r>
        <w:instrText xml:space="preserve"> PAGEREF _Toc200652298 \h </w:instrText>
      </w:r>
      <w:r>
        <w:fldChar w:fldCharType="separate"/>
      </w:r>
      <w:r>
        <w:t>1</w:t>
      </w:r>
      <w:r>
        <w:fldChar w:fldCharType="end"/>
      </w:r>
      <w:r>
        <w:fldChar w:fldCharType="end"/>
      </w:r>
    </w:p>
    <w:p w14:paraId="50726A77">
      <w:pPr>
        <w:pStyle w:val="20"/>
        <w:tabs>
          <w:tab w:val="right" w:leader="dot" w:pos="9344"/>
        </w:tabs>
        <w:spacing w:line="240" w:lineRule="auto"/>
        <w:rPr>
          <w:rFonts w:hint="eastAsia" w:asciiTheme="minorHAnsi" w:hAnsiTheme="minorHAnsi" w:eastAsiaTheme="minorEastAsia" w:cstheme="minorBidi"/>
          <w:szCs w:val="22"/>
        </w:rPr>
      </w:pPr>
      <w:r>
        <w:fldChar w:fldCharType="begin"/>
      </w:r>
      <w:r>
        <w:instrText xml:space="preserve"> HYPERLINK \l "_Toc200652299" </w:instrText>
      </w:r>
      <w:r>
        <w:fldChar w:fldCharType="separate"/>
      </w:r>
      <w:r>
        <w:rPr>
          <w:rStyle w:val="34"/>
        </w:rPr>
        <w:t>4</w:t>
      </w:r>
      <w:r>
        <w:rPr>
          <w:rStyle w:val="34"/>
          <w:rFonts w:hint="eastAsia"/>
        </w:rPr>
        <w:t xml:space="preserve"> 厂址选择</w:t>
      </w:r>
      <w:r>
        <w:tab/>
      </w:r>
      <w:r>
        <w:fldChar w:fldCharType="begin"/>
      </w:r>
      <w:r>
        <w:instrText xml:space="preserve"> PAGEREF _Toc200652299 \h </w:instrText>
      </w:r>
      <w:r>
        <w:fldChar w:fldCharType="separate"/>
      </w:r>
      <w:r>
        <w:t>1</w:t>
      </w:r>
      <w:r>
        <w:fldChar w:fldCharType="end"/>
      </w:r>
      <w:r>
        <w:fldChar w:fldCharType="end"/>
      </w:r>
    </w:p>
    <w:p w14:paraId="506B2F7F">
      <w:pPr>
        <w:pStyle w:val="20"/>
        <w:tabs>
          <w:tab w:val="right" w:leader="dot" w:pos="9344"/>
        </w:tabs>
        <w:spacing w:line="240" w:lineRule="auto"/>
        <w:rPr>
          <w:rFonts w:hint="eastAsia" w:asciiTheme="minorHAnsi" w:hAnsiTheme="minorHAnsi" w:eastAsiaTheme="minorEastAsia" w:cstheme="minorBidi"/>
          <w:szCs w:val="22"/>
        </w:rPr>
      </w:pPr>
      <w:r>
        <w:fldChar w:fldCharType="begin"/>
      </w:r>
      <w:r>
        <w:instrText xml:space="preserve"> HYPERLINK \l "_Toc200652300" </w:instrText>
      </w:r>
      <w:r>
        <w:fldChar w:fldCharType="separate"/>
      </w:r>
      <w:r>
        <w:rPr>
          <w:rStyle w:val="34"/>
        </w:rPr>
        <w:t>5</w:t>
      </w:r>
      <w:r>
        <w:rPr>
          <w:rStyle w:val="34"/>
          <w:rFonts w:hint="eastAsia"/>
        </w:rPr>
        <w:t xml:space="preserve"> 布局</w:t>
      </w:r>
      <w:r>
        <w:tab/>
      </w:r>
      <w:r>
        <w:fldChar w:fldCharType="begin"/>
      </w:r>
      <w:r>
        <w:instrText xml:space="preserve"> PAGEREF _Toc200652300 \h </w:instrText>
      </w:r>
      <w:r>
        <w:fldChar w:fldCharType="separate"/>
      </w:r>
      <w:r>
        <w:t>2</w:t>
      </w:r>
      <w:r>
        <w:fldChar w:fldCharType="end"/>
      </w:r>
      <w:r>
        <w:fldChar w:fldCharType="end"/>
      </w:r>
    </w:p>
    <w:p w14:paraId="3B09F3ED">
      <w:pPr>
        <w:pStyle w:val="25"/>
        <w:spacing w:line="240" w:lineRule="auto"/>
        <w:rPr>
          <w:rFonts w:hint="eastAsia" w:asciiTheme="minorHAnsi" w:hAnsiTheme="minorHAnsi" w:eastAsiaTheme="minorEastAsia" w:cstheme="minorBidi"/>
          <w:szCs w:val="22"/>
        </w:rPr>
      </w:pPr>
      <w:r>
        <w:fldChar w:fldCharType="begin"/>
      </w:r>
      <w:r>
        <w:instrText xml:space="preserve"> HYPERLINK \l "_Toc200652301" </w:instrText>
      </w:r>
      <w:r>
        <w:fldChar w:fldCharType="separate"/>
      </w:r>
      <w:r>
        <w:rPr>
          <w:rStyle w:val="34"/>
          <w14:scene3d w14:prst="orthographicFront">
            <w14:lightRig w14:rig="threePt" w14:dir="t">
              <w14:rot w14:lat="0" w14:lon="0" w14:rev="0"/>
            </w14:lightRig>
          </w14:scene3d>
        </w:rPr>
        <w:t>5.1</w:t>
      </w:r>
      <w:r>
        <w:rPr>
          <w:rStyle w:val="34"/>
          <w:rFonts w:hint="eastAsia"/>
        </w:rPr>
        <w:t xml:space="preserve"> 区域布局</w:t>
      </w:r>
      <w:r>
        <w:tab/>
      </w:r>
      <w:r>
        <w:fldChar w:fldCharType="begin"/>
      </w:r>
      <w:r>
        <w:instrText xml:space="preserve"> PAGEREF _Toc200652301 \h </w:instrText>
      </w:r>
      <w:r>
        <w:fldChar w:fldCharType="separate"/>
      </w:r>
      <w:r>
        <w:t>2</w:t>
      </w:r>
      <w:r>
        <w:fldChar w:fldCharType="end"/>
      </w:r>
      <w:r>
        <w:fldChar w:fldCharType="end"/>
      </w:r>
    </w:p>
    <w:p w14:paraId="07DFAE4E">
      <w:pPr>
        <w:pStyle w:val="25"/>
        <w:spacing w:line="240" w:lineRule="auto"/>
        <w:rPr>
          <w:rFonts w:hint="eastAsia" w:asciiTheme="minorHAnsi" w:hAnsiTheme="minorHAnsi" w:eastAsiaTheme="minorEastAsia" w:cstheme="minorBidi"/>
          <w:szCs w:val="22"/>
        </w:rPr>
      </w:pPr>
      <w:r>
        <w:fldChar w:fldCharType="begin"/>
      </w:r>
      <w:r>
        <w:instrText xml:space="preserve"> HYPERLINK \l "_Toc200652302" </w:instrText>
      </w:r>
      <w:r>
        <w:fldChar w:fldCharType="separate"/>
      </w:r>
      <w:r>
        <w:rPr>
          <w:rStyle w:val="34"/>
          <w14:scene3d w14:prst="orthographicFront">
            <w14:lightRig w14:rig="threePt" w14:dir="t">
              <w14:rot w14:lat="0" w14:lon="0" w14:rev="0"/>
            </w14:lightRig>
          </w14:scene3d>
        </w:rPr>
        <w:t>5.2</w:t>
      </w:r>
      <w:r>
        <w:rPr>
          <w:rStyle w:val="34"/>
          <w:rFonts w:hint="eastAsia"/>
        </w:rPr>
        <w:t xml:space="preserve"> 生产区布局</w:t>
      </w:r>
      <w:r>
        <w:tab/>
      </w:r>
      <w:r>
        <w:fldChar w:fldCharType="begin"/>
      </w:r>
      <w:r>
        <w:instrText xml:space="preserve"> PAGEREF _Toc200652302 \h </w:instrText>
      </w:r>
      <w:r>
        <w:fldChar w:fldCharType="separate"/>
      </w:r>
      <w:r>
        <w:t>2</w:t>
      </w:r>
      <w:r>
        <w:fldChar w:fldCharType="end"/>
      </w:r>
      <w:r>
        <w:fldChar w:fldCharType="end"/>
      </w:r>
    </w:p>
    <w:p w14:paraId="2B2EACB2">
      <w:pPr>
        <w:pStyle w:val="25"/>
        <w:spacing w:line="240" w:lineRule="auto"/>
        <w:rPr>
          <w:rFonts w:hint="eastAsia" w:asciiTheme="minorHAnsi" w:hAnsiTheme="minorHAnsi" w:eastAsiaTheme="minorEastAsia" w:cstheme="minorBidi"/>
          <w:szCs w:val="22"/>
        </w:rPr>
      </w:pPr>
      <w:r>
        <w:fldChar w:fldCharType="begin"/>
      </w:r>
      <w:r>
        <w:instrText xml:space="preserve"> HYPERLINK \l "_Toc200652303" </w:instrText>
      </w:r>
      <w:r>
        <w:fldChar w:fldCharType="separate"/>
      </w:r>
      <w:r>
        <w:rPr>
          <w:rStyle w:val="34"/>
          <w14:scene3d w14:prst="orthographicFront">
            <w14:lightRig w14:rig="threePt" w14:dir="t">
              <w14:rot w14:lat="0" w14:lon="0" w14:rev="0"/>
            </w14:lightRig>
          </w14:scene3d>
        </w:rPr>
        <w:t>5.3</w:t>
      </w:r>
      <w:r>
        <w:rPr>
          <w:rStyle w:val="34"/>
          <w:rFonts w:hint="eastAsia"/>
        </w:rPr>
        <w:t xml:space="preserve"> 仓储区布局</w:t>
      </w:r>
      <w:r>
        <w:tab/>
      </w:r>
      <w:r>
        <w:fldChar w:fldCharType="begin"/>
      </w:r>
      <w:r>
        <w:instrText xml:space="preserve"> PAGEREF _Toc200652303 \h </w:instrText>
      </w:r>
      <w:r>
        <w:fldChar w:fldCharType="separate"/>
      </w:r>
      <w:r>
        <w:t>2</w:t>
      </w:r>
      <w:r>
        <w:fldChar w:fldCharType="end"/>
      </w:r>
      <w:r>
        <w:fldChar w:fldCharType="end"/>
      </w:r>
    </w:p>
    <w:p w14:paraId="38A3F1A5">
      <w:pPr>
        <w:pStyle w:val="25"/>
        <w:spacing w:line="240" w:lineRule="auto"/>
        <w:rPr>
          <w:rFonts w:hint="eastAsia" w:asciiTheme="minorHAnsi" w:hAnsiTheme="minorHAnsi" w:eastAsiaTheme="minorEastAsia" w:cstheme="minorBidi"/>
          <w:szCs w:val="22"/>
        </w:rPr>
      </w:pPr>
      <w:r>
        <w:fldChar w:fldCharType="begin"/>
      </w:r>
      <w:r>
        <w:instrText xml:space="preserve"> HYPERLINK \l "_Toc200652304" </w:instrText>
      </w:r>
      <w:r>
        <w:fldChar w:fldCharType="separate"/>
      </w:r>
      <w:r>
        <w:rPr>
          <w:rStyle w:val="34"/>
          <w14:scene3d w14:prst="orthographicFront">
            <w14:lightRig w14:rig="threePt" w14:dir="t">
              <w14:rot w14:lat="0" w14:lon="0" w14:rev="0"/>
            </w14:lightRig>
          </w14:scene3d>
        </w:rPr>
        <w:t>5.4</w:t>
      </w:r>
      <w:r>
        <w:rPr>
          <w:rStyle w:val="34"/>
          <w:rFonts w:hint="eastAsia"/>
        </w:rPr>
        <w:t xml:space="preserve"> 办公区布局</w:t>
      </w:r>
      <w:r>
        <w:tab/>
      </w:r>
      <w:r>
        <w:fldChar w:fldCharType="begin"/>
      </w:r>
      <w:r>
        <w:instrText xml:space="preserve"> PAGEREF _Toc200652304 \h </w:instrText>
      </w:r>
      <w:r>
        <w:fldChar w:fldCharType="separate"/>
      </w:r>
      <w:r>
        <w:t>2</w:t>
      </w:r>
      <w:r>
        <w:fldChar w:fldCharType="end"/>
      </w:r>
      <w:r>
        <w:fldChar w:fldCharType="end"/>
      </w:r>
    </w:p>
    <w:p w14:paraId="047A1DA3">
      <w:pPr>
        <w:pStyle w:val="25"/>
        <w:spacing w:line="240" w:lineRule="auto"/>
        <w:rPr>
          <w:rFonts w:hint="eastAsia" w:asciiTheme="minorHAnsi" w:hAnsiTheme="minorHAnsi" w:eastAsiaTheme="minorEastAsia" w:cstheme="minorBidi"/>
          <w:szCs w:val="22"/>
        </w:rPr>
      </w:pPr>
      <w:r>
        <w:fldChar w:fldCharType="begin"/>
      </w:r>
      <w:r>
        <w:instrText xml:space="preserve"> HYPERLINK \l "_Toc200652305" </w:instrText>
      </w:r>
      <w:r>
        <w:fldChar w:fldCharType="separate"/>
      </w:r>
      <w:r>
        <w:rPr>
          <w:rStyle w:val="34"/>
          <w14:scene3d w14:prst="orthographicFront">
            <w14:lightRig w14:rig="threePt" w14:dir="t">
              <w14:rot w14:lat="0" w14:lon="0" w14:rev="0"/>
            </w14:lightRig>
          </w14:scene3d>
        </w:rPr>
        <w:t>5.5</w:t>
      </w:r>
      <w:r>
        <w:rPr>
          <w:rStyle w:val="34"/>
          <w:rFonts w:hint="eastAsia"/>
        </w:rPr>
        <w:t xml:space="preserve"> 生活区布局</w:t>
      </w:r>
      <w:r>
        <w:tab/>
      </w:r>
      <w:r>
        <w:fldChar w:fldCharType="begin"/>
      </w:r>
      <w:r>
        <w:instrText xml:space="preserve"> PAGEREF _Toc200652305 \h </w:instrText>
      </w:r>
      <w:r>
        <w:fldChar w:fldCharType="separate"/>
      </w:r>
      <w:r>
        <w:t>2</w:t>
      </w:r>
      <w:r>
        <w:fldChar w:fldCharType="end"/>
      </w:r>
      <w:r>
        <w:fldChar w:fldCharType="end"/>
      </w:r>
    </w:p>
    <w:p w14:paraId="5BCFAFC2">
      <w:pPr>
        <w:pStyle w:val="20"/>
        <w:tabs>
          <w:tab w:val="right" w:leader="dot" w:pos="9344"/>
        </w:tabs>
        <w:spacing w:line="240" w:lineRule="auto"/>
        <w:rPr>
          <w:rFonts w:hint="eastAsia" w:asciiTheme="minorHAnsi" w:hAnsiTheme="minorHAnsi" w:eastAsiaTheme="minorEastAsia" w:cstheme="minorBidi"/>
          <w:szCs w:val="22"/>
        </w:rPr>
      </w:pPr>
      <w:r>
        <w:fldChar w:fldCharType="begin"/>
      </w:r>
      <w:r>
        <w:instrText xml:space="preserve"> HYPERLINK \l "_Toc200652306" </w:instrText>
      </w:r>
      <w:r>
        <w:fldChar w:fldCharType="separate"/>
      </w:r>
      <w:r>
        <w:rPr>
          <w:rStyle w:val="34"/>
        </w:rPr>
        <w:t>6</w:t>
      </w:r>
      <w:r>
        <w:rPr>
          <w:rStyle w:val="34"/>
          <w:rFonts w:hint="eastAsia"/>
        </w:rPr>
        <w:t xml:space="preserve"> 设施</w:t>
      </w:r>
      <w:r>
        <w:tab/>
      </w:r>
      <w:r>
        <w:fldChar w:fldCharType="begin"/>
      </w:r>
      <w:r>
        <w:instrText xml:space="preserve"> PAGEREF _Toc200652306 \h </w:instrText>
      </w:r>
      <w:r>
        <w:fldChar w:fldCharType="separate"/>
      </w:r>
      <w:r>
        <w:t>2</w:t>
      </w:r>
      <w:r>
        <w:fldChar w:fldCharType="end"/>
      </w:r>
      <w:r>
        <w:fldChar w:fldCharType="end"/>
      </w:r>
    </w:p>
    <w:p w14:paraId="4996927F">
      <w:pPr>
        <w:pStyle w:val="25"/>
        <w:spacing w:line="240" w:lineRule="auto"/>
        <w:rPr>
          <w:rFonts w:hint="eastAsia" w:asciiTheme="minorHAnsi" w:hAnsiTheme="minorHAnsi" w:eastAsiaTheme="minorEastAsia" w:cstheme="minorBidi"/>
          <w:szCs w:val="22"/>
        </w:rPr>
      </w:pPr>
      <w:r>
        <w:fldChar w:fldCharType="begin"/>
      </w:r>
      <w:r>
        <w:instrText xml:space="preserve"> HYPERLINK \l "_Toc200652307" </w:instrText>
      </w:r>
      <w:r>
        <w:fldChar w:fldCharType="separate"/>
      </w:r>
      <w:r>
        <w:rPr>
          <w:rStyle w:val="34"/>
          <w14:scene3d w14:prst="orthographicFront">
            <w14:lightRig w14:rig="threePt" w14:dir="t">
              <w14:rot w14:lat="0" w14:lon="0" w14:rev="0"/>
            </w14:lightRig>
          </w14:scene3d>
        </w:rPr>
        <w:t>6.1</w:t>
      </w:r>
      <w:r>
        <w:rPr>
          <w:rStyle w:val="34"/>
          <w:rFonts w:hint="eastAsia"/>
        </w:rPr>
        <w:t xml:space="preserve"> 供电设施</w:t>
      </w:r>
      <w:r>
        <w:tab/>
      </w:r>
      <w:r>
        <w:fldChar w:fldCharType="begin"/>
      </w:r>
      <w:r>
        <w:instrText xml:space="preserve"> PAGEREF _Toc200652307 \h </w:instrText>
      </w:r>
      <w:r>
        <w:fldChar w:fldCharType="separate"/>
      </w:r>
      <w:r>
        <w:t>2</w:t>
      </w:r>
      <w:r>
        <w:fldChar w:fldCharType="end"/>
      </w:r>
      <w:r>
        <w:fldChar w:fldCharType="end"/>
      </w:r>
    </w:p>
    <w:p w14:paraId="307EF6FE">
      <w:pPr>
        <w:pStyle w:val="25"/>
        <w:spacing w:line="240" w:lineRule="auto"/>
        <w:rPr>
          <w:rFonts w:hint="eastAsia" w:asciiTheme="minorHAnsi" w:hAnsiTheme="minorHAnsi" w:eastAsiaTheme="minorEastAsia" w:cstheme="minorBidi"/>
          <w:szCs w:val="22"/>
        </w:rPr>
      </w:pPr>
      <w:r>
        <w:fldChar w:fldCharType="begin"/>
      </w:r>
      <w:r>
        <w:instrText xml:space="preserve"> HYPERLINK \l "_Toc200652308" </w:instrText>
      </w:r>
      <w:r>
        <w:fldChar w:fldCharType="separate"/>
      </w:r>
      <w:r>
        <w:rPr>
          <w:rStyle w:val="34"/>
          <w14:scene3d w14:prst="orthographicFront">
            <w14:lightRig w14:rig="threePt" w14:dir="t">
              <w14:rot w14:lat="0" w14:lon="0" w14:rev="0"/>
            </w14:lightRig>
          </w14:scene3d>
        </w:rPr>
        <w:t>6.2</w:t>
      </w:r>
      <w:r>
        <w:rPr>
          <w:rStyle w:val="34"/>
          <w:rFonts w:hint="eastAsia"/>
        </w:rPr>
        <w:t xml:space="preserve"> 供水设施</w:t>
      </w:r>
      <w:r>
        <w:tab/>
      </w:r>
      <w:r>
        <w:fldChar w:fldCharType="begin"/>
      </w:r>
      <w:r>
        <w:instrText xml:space="preserve"> PAGEREF _Toc200652308 \h </w:instrText>
      </w:r>
      <w:r>
        <w:fldChar w:fldCharType="separate"/>
      </w:r>
      <w:r>
        <w:t>3</w:t>
      </w:r>
      <w:r>
        <w:fldChar w:fldCharType="end"/>
      </w:r>
      <w:r>
        <w:fldChar w:fldCharType="end"/>
      </w:r>
    </w:p>
    <w:p w14:paraId="11D6347C">
      <w:pPr>
        <w:pStyle w:val="25"/>
        <w:spacing w:line="240" w:lineRule="auto"/>
        <w:rPr>
          <w:rFonts w:hint="eastAsia" w:asciiTheme="minorHAnsi" w:hAnsiTheme="minorHAnsi" w:eastAsiaTheme="minorEastAsia" w:cstheme="minorBidi"/>
          <w:szCs w:val="22"/>
        </w:rPr>
      </w:pPr>
      <w:r>
        <w:fldChar w:fldCharType="begin"/>
      </w:r>
      <w:r>
        <w:instrText xml:space="preserve"> HYPERLINK \l "_Toc200652309" </w:instrText>
      </w:r>
      <w:r>
        <w:fldChar w:fldCharType="separate"/>
      </w:r>
      <w:r>
        <w:rPr>
          <w:rStyle w:val="34"/>
          <w14:scene3d w14:prst="orthographicFront">
            <w14:lightRig w14:rig="threePt" w14:dir="t">
              <w14:rot w14:lat="0" w14:lon="0" w14:rev="0"/>
            </w14:lightRig>
          </w14:scene3d>
        </w:rPr>
        <w:t>6.3</w:t>
      </w:r>
      <w:r>
        <w:rPr>
          <w:rStyle w:val="34"/>
          <w:rFonts w:hint="eastAsia"/>
        </w:rPr>
        <w:t xml:space="preserve"> 排水设施</w:t>
      </w:r>
      <w:r>
        <w:tab/>
      </w:r>
      <w:r>
        <w:fldChar w:fldCharType="begin"/>
      </w:r>
      <w:r>
        <w:instrText xml:space="preserve"> PAGEREF _Toc200652309 \h </w:instrText>
      </w:r>
      <w:r>
        <w:fldChar w:fldCharType="separate"/>
      </w:r>
      <w:r>
        <w:t>3</w:t>
      </w:r>
      <w:r>
        <w:fldChar w:fldCharType="end"/>
      </w:r>
      <w:r>
        <w:fldChar w:fldCharType="end"/>
      </w:r>
    </w:p>
    <w:p w14:paraId="61A83417">
      <w:pPr>
        <w:pStyle w:val="25"/>
        <w:spacing w:line="240" w:lineRule="auto"/>
        <w:rPr>
          <w:rFonts w:hint="eastAsia" w:asciiTheme="minorHAnsi" w:hAnsiTheme="minorHAnsi" w:eastAsiaTheme="minorEastAsia" w:cstheme="minorBidi"/>
          <w:szCs w:val="22"/>
        </w:rPr>
      </w:pPr>
      <w:r>
        <w:fldChar w:fldCharType="begin"/>
      </w:r>
      <w:r>
        <w:instrText xml:space="preserve"> HYPERLINK \l "_Toc200652310" </w:instrText>
      </w:r>
      <w:r>
        <w:fldChar w:fldCharType="separate"/>
      </w:r>
      <w:r>
        <w:rPr>
          <w:rStyle w:val="34"/>
          <w14:scene3d w14:prst="orthographicFront">
            <w14:lightRig w14:rig="threePt" w14:dir="t">
              <w14:rot w14:lat="0" w14:lon="0" w14:rev="0"/>
            </w14:lightRig>
          </w14:scene3d>
        </w:rPr>
        <w:t>6.4</w:t>
      </w:r>
      <w:r>
        <w:rPr>
          <w:rStyle w:val="34"/>
          <w:rFonts w:hint="eastAsia"/>
        </w:rPr>
        <w:t xml:space="preserve"> 清洁消毒设施</w:t>
      </w:r>
      <w:r>
        <w:tab/>
      </w:r>
      <w:r>
        <w:fldChar w:fldCharType="begin"/>
      </w:r>
      <w:r>
        <w:instrText xml:space="preserve"> PAGEREF _Toc200652310 \h </w:instrText>
      </w:r>
      <w:r>
        <w:fldChar w:fldCharType="separate"/>
      </w:r>
      <w:r>
        <w:t>3</w:t>
      </w:r>
      <w:r>
        <w:fldChar w:fldCharType="end"/>
      </w:r>
      <w:r>
        <w:fldChar w:fldCharType="end"/>
      </w:r>
    </w:p>
    <w:p w14:paraId="0CE3354B">
      <w:pPr>
        <w:pStyle w:val="25"/>
        <w:spacing w:line="240" w:lineRule="auto"/>
        <w:rPr>
          <w:rFonts w:hint="eastAsia" w:asciiTheme="minorHAnsi" w:hAnsiTheme="minorHAnsi" w:eastAsiaTheme="minorEastAsia" w:cstheme="minorBidi"/>
          <w:szCs w:val="22"/>
        </w:rPr>
      </w:pPr>
      <w:r>
        <w:fldChar w:fldCharType="begin"/>
      </w:r>
      <w:r>
        <w:instrText xml:space="preserve"> HYPERLINK \l "_Toc200652311" </w:instrText>
      </w:r>
      <w:r>
        <w:fldChar w:fldCharType="separate"/>
      </w:r>
      <w:r>
        <w:rPr>
          <w:rStyle w:val="34"/>
          <w14:scene3d w14:prst="orthographicFront">
            <w14:lightRig w14:rig="threePt" w14:dir="t">
              <w14:rot w14:lat="0" w14:lon="0" w14:rev="0"/>
            </w14:lightRig>
          </w14:scene3d>
        </w:rPr>
        <w:t>6.5</w:t>
      </w:r>
      <w:r>
        <w:rPr>
          <w:rStyle w:val="34"/>
          <w:rFonts w:hint="eastAsia"/>
        </w:rPr>
        <w:t xml:space="preserve"> 人员卫生设施</w:t>
      </w:r>
      <w:r>
        <w:tab/>
      </w:r>
      <w:r>
        <w:fldChar w:fldCharType="begin"/>
      </w:r>
      <w:r>
        <w:instrText xml:space="preserve"> PAGEREF _Toc200652311 \h </w:instrText>
      </w:r>
      <w:r>
        <w:fldChar w:fldCharType="separate"/>
      </w:r>
      <w:r>
        <w:t>3</w:t>
      </w:r>
      <w:r>
        <w:fldChar w:fldCharType="end"/>
      </w:r>
      <w:r>
        <w:fldChar w:fldCharType="end"/>
      </w:r>
    </w:p>
    <w:p w14:paraId="0380370C">
      <w:pPr>
        <w:pStyle w:val="25"/>
        <w:spacing w:line="240" w:lineRule="auto"/>
        <w:rPr>
          <w:rFonts w:hint="eastAsia" w:asciiTheme="minorHAnsi" w:hAnsiTheme="minorHAnsi" w:eastAsiaTheme="minorEastAsia" w:cstheme="minorBidi"/>
          <w:szCs w:val="22"/>
        </w:rPr>
      </w:pPr>
      <w:r>
        <w:fldChar w:fldCharType="begin"/>
      </w:r>
      <w:r>
        <w:instrText xml:space="preserve"> HYPERLINK \l "_Toc200652312" </w:instrText>
      </w:r>
      <w:r>
        <w:fldChar w:fldCharType="separate"/>
      </w:r>
      <w:r>
        <w:rPr>
          <w:rStyle w:val="34"/>
          <w14:scene3d w14:prst="orthographicFront">
            <w14:lightRig w14:rig="threePt" w14:dir="t">
              <w14:rot w14:lat="0" w14:lon="0" w14:rev="0"/>
            </w14:lightRig>
          </w14:scene3d>
        </w:rPr>
        <w:t>6.6</w:t>
      </w:r>
      <w:r>
        <w:rPr>
          <w:rStyle w:val="34"/>
          <w:rFonts w:hint="eastAsia"/>
        </w:rPr>
        <w:t xml:space="preserve"> 通风设施</w:t>
      </w:r>
      <w:r>
        <w:tab/>
      </w:r>
      <w:r>
        <w:fldChar w:fldCharType="begin"/>
      </w:r>
      <w:r>
        <w:instrText xml:space="preserve"> PAGEREF _Toc200652312 \h </w:instrText>
      </w:r>
      <w:r>
        <w:fldChar w:fldCharType="separate"/>
      </w:r>
      <w:r>
        <w:t>3</w:t>
      </w:r>
      <w:r>
        <w:fldChar w:fldCharType="end"/>
      </w:r>
      <w:r>
        <w:fldChar w:fldCharType="end"/>
      </w:r>
    </w:p>
    <w:p w14:paraId="68CC6EB2">
      <w:pPr>
        <w:pStyle w:val="25"/>
        <w:spacing w:line="240" w:lineRule="auto"/>
        <w:rPr>
          <w:rFonts w:hint="eastAsia" w:asciiTheme="minorHAnsi" w:hAnsiTheme="minorHAnsi" w:eastAsiaTheme="minorEastAsia" w:cstheme="minorBidi"/>
          <w:szCs w:val="22"/>
        </w:rPr>
      </w:pPr>
      <w:r>
        <w:fldChar w:fldCharType="begin"/>
      </w:r>
      <w:r>
        <w:instrText xml:space="preserve"> HYPERLINK \l "_Toc200652313" </w:instrText>
      </w:r>
      <w:r>
        <w:fldChar w:fldCharType="separate"/>
      </w:r>
      <w:r>
        <w:rPr>
          <w:rStyle w:val="34"/>
          <w14:scene3d w14:prst="orthographicFront">
            <w14:lightRig w14:rig="threePt" w14:dir="t">
              <w14:rot w14:lat="0" w14:lon="0" w14:rev="0"/>
            </w14:lightRig>
          </w14:scene3d>
        </w:rPr>
        <w:t>6.7</w:t>
      </w:r>
      <w:r>
        <w:rPr>
          <w:rStyle w:val="34"/>
          <w:rFonts w:hint="eastAsia"/>
        </w:rPr>
        <w:t xml:space="preserve"> 照明设施</w:t>
      </w:r>
      <w:r>
        <w:tab/>
      </w:r>
      <w:r>
        <w:fldChar w:fldCharType="begin"/>
      </w:r>
      <w:r>
        <w:instrText xml:space="preserve"> PAGEREF _Toc200652313 \h </w:instrText>
      </w:r>
      <w:r>
        <w:fldChar w:fldCharType="separate"/>
      </w:r>
      <w:r>
        <w:t>3</w:t>
      </w:r>
      <w:r>
        <w:fldChar w:fldCharType="end"/>
      </w:r>
      <w:r>
        <w:fldChar w:fldCharType="end"/>
      </w:r>
    </w:p>
    <w:p w14:paraId="05BF8A5E">
      <w:pPr>
        <w:pStyle w:val="25"/>
        <w:spacing w:line="240" w:lineRule="auto"/>
        <w:rPr>
          <w:rFonts w:hint="eastAsia" w:asciiTheme="minorHAnsi" w:hAnsiTheme="minorHAnsi" w:eastAsiaTheme="minorEastAsia" w:cstheme="minorBidi"/>
          <w:szCs w:val="22"/>
        </w:rPr>
      </w:pPr>
      <w:r>
        <w:fldChar w:fldCharType="begin"/>
      </w:r>
      <w:r>
        <w:instrText xml:space="preserve"> HYPERLINK \l "_Toc200652314" </w:instrText>
      </w:r>
      <w:r>
        <w:fldChar w:fldCharType="separate"/>
      </w:r>
      <w:r>
        <w:rPr>
          <w:rStyle w:val="34"/>
          <w14:scene3d w14:prst="orthographicFront">
            <w14:lightRig w14:rig="threePt" w14:dir="t">
              <w14:rot w14:lat="0" w14:lon="0" w14:rev="0"/>
            </w14:lightRig>
          </w14:scene3d>
        </w:rPr>
        <w:t>6.8</w:t>
      </w:r>
      <w:r>
        <w:rPr>
          <w:rStyle w:val="34"/>
          <w:rFonts w:hint="eastAsia"/>
        </w:rPr>
        <w:t xml:space="preserve"> 生产区设施</w:t>
      </w:r>
      <w:r>
        <w:tab/>
      </w:r>
      <w:r>
        <w:fldChar w:fldCharType="begin"/>
      </w:r>
      <w:r>
        <w:instrText xml:space="preserve"> PAGEREF _Toc200652314 \h </w:instrText>
      </w:r>
      <w:r>
        <w:fldChar w:fldCharType="separate"/>
      </w:r>
      <w:r>
        <w:t>3</w:t>
      </w:r>
      <w:r>
        <w:fldChar w:fldCharType="end"/>
      </w:r>
      <w:r>
        <w:fldChar w:fldCharType="end"/>
      </w:r>
    </w:p>
    <w:p w14:paraId="202BFA9D">
      <w:pPr>
        <w:pStyle w:val="25"/>
        <w:spacing w:line="240" w:lineRule="auto"/>
        <w:rPr>
          <w:rFonts w:hint="eastAsia" w:asciiTheme="minorHAnsi" w:hAnsiTheme="minorHAnsi" w:eastAsiaTheme="minorEastAsia" w:cstheme="minorBidi"/>
          <w:szCs w:val="22"/>
        </w:rPr>
      </w:pPr>
      <w:r>
        <w:fldChar w:fldCharType="begin"/>
      </w:r>
      <w:r>
        <w:instrText xml:space="preserve"> HYPERLINK \l "_Toc200652315" </w:instrText>
      </w:r>
      <w:r>
        <w:fldChar w:fldCharType="separate"/>
      </w:r>
      <w:r>
        <w:rPr>
          <w:rStyle w:val="34"/>
          <w14:scene3d w14:prst="orthographicFront">
            <w14:lightRig w14:rig="threePt" w14:dir="t">
              <w14:rot w14:lat="0" w14:lon="0" w14:rev="0"/>
            </w14:lightRig>
          </w14:scene3d>
        </w:rPr>
        <w:t>6.9</w:t>
      </w:r>
      <w:r>
        <w:rPr>
          <w:rStyle w:val="34"/>
          <w:rFonts w:hint="eastAsia"/>
        </w:rPr>
        <w:t xml:space="preserve"> 仓储区设施</w:t>
      </w:r>
      <w:r>
        <w:tab/>
      </w:r>
      <w:r>
        <w:fldChar w:fldCharType="begin"/>
      </w:r>
      <w:r>
        <w:instrText xml:space="preserve"> PAGEREF _Toc200652315 \h </w:instrText>
      </w:r>
      <w:r>
        <w:fldChar w:fldCharType="separate"/>
      </w:r>
      <w:r>
        <w:t>4</w:t>
      </w:r>
      <w:r>
        <w:fldChar w:fldCharType="end"/>
      </w:r>
      <w:r>
        <w:fldChar w:fldCharType="end"/>
      </w:r>
    </w:p>
    <w:p w14:paraId="523A10EE">
      <w:pPr>
        <w:pStyle w:val="25"/>
        <w:spacing w:line="240" w:lineRule="auto"/>
        <w:rPr>
          <w:rFonts w:hint="eastAsia" w:asciiTheme="minorHAnsi" w:hAnsiTheme="minorHAnsi" w:eastAsiaTheme="minorEastAsia" w:cstheme="minorBidi"/>
          <w:szCs w:val="22"/>
        </w:rPr>
      </w:pPr>
      <w:r>
        <w:fldChar w:fldCharType="begin"/>
      </w:r>
      <w:r>
        <w:instrText xml:space="preserve"> HYPERLINK \l "_Toc200652316" </w:instrText>
      </w:r>
      <w:r>
        <w:fldChar w:fldCharType="separate"/>
      </w:r>
      <w:r>
        <w:rPr>
          <w:rStyle w:val="34"/>
          <w14:scene3d w14:prst="orthographicFront">
            <w14:lightRig w14:rig="threePt" w14:dir="t">
              <w14:rot w14:lat="0" w14:lon="0" w14:rev="0"/>
            </w14:lightRig>
          </w14:scene3d>
        </w:rPr>
        <w:t>6.10</w:t>
      </w:r>
      <w:r>
        <w:rPr>
          <w:rStyle w:val="34"/>
          <w:rFonts w:hint="eastAsia"/>
        </w:rPr>
        <w:t xml:space="preserve"> 办公区设施</w:t>
      </w:r>
      <w:r>
        <w:tab/>
      </w:r>
      <w:r>
        <w:fldChar w:fldCharType="begin"/>
      </w:r>
      <w:r>
        <w:instrText xml:space="preserve"> PAGEREF _Toc200652316 \h </w:instrText>
      </w:r>
      <w:r>
        <w:fldChar w:fldCharType="separate"/>
      </w:r>
      <w:r>
        <w:t>4</w:t>
      </w:r>
      <w:r>
        <w:fldChar w:fldCharType="end"/>
      </w:r>
      <w:r>
        <w:fldChar w:fldCharType="end"/>
      </w:r>
    </w:p>
    <w:p w14:paraId="18A867A2">
      <w:pPr>
        <w:pStyle w:val="25"/>
        <w:spacing w:line="240" w:lineRule="auto"/>
        <w:rPr>
          <w:rFonts w:hint="eastAsia" w:asciiTheme="minorHAnsi" w:hAnsiTheme="minorHAnsi" w:eastAsiaTheme="minorEastAsia" w:cstheme="minorBidi"/>
          <w:szCs w:val="22"/>
        </w:rPr>
      </w:pPr>
      <w:r>
        <w:fldChar w:fldCharType="begin"/>
      </w:r>
      <w:r>
        <w:instrText xml:space="preserve"> HYPERLINK \l "_Toc200652317" </w:instrText>
      </w:r>
      <w:r>
        <w:fldChar w:fldCharType="separate"/>
      </w:r>
      <w:r>
        <w:rPr>
          <w:rStyle w:val="34"/>
          <w14:scene3d w14:prst="orthographicFront">
            <w14:lightRig w14:rig="threePt" w14:dir="t">
              <w14:rot w14:lat="0" w14:lon="0" w14:rev="0"/>
            </w14:lightRig>
          </w14:scene3d>
        </w:rPr>
        <w:t>6.11</w:t>
      </w:r>
      <w:r>
        <w:rPr>
          <w:rStyle w:val="34"/>
          <w:rFonts w:hint="eastAsia"/>
        </w:rPr>
        <w:t xml:space="preserve"> 生活区</w:t>
      </w:r>
      <w:r>
        <w:tab/>
      </w:r>
      <w:r>
        <w:fldChar w:fldCharType="begin"/>
      </w:r>
      <w:r>
        <w:instrText xml:space="preserve"> PAGEREF _Toc200652317 \h </w:instrText>
      </w:r>
      <w:r>
        <w:fldChar w:fldCharType="separate"/>
      </w:r>
      <w:r>
        <w:t>4</w:t>
      </w:r>
      <w:r>
        <w:fldChar w:fldCharType="end"/>
      </w:r>
      <w:r>
        <w:fldChar w:fldCharType="end"/>
      </w:r>
    </w:p>
    <w:p w14:paraId="0F9C7E48">
      <w:pPr>
        <w:pStyle w:val="20"/>
        <w:tabs>
          <w:tab w:val="right" w:leader="dot" w:pos="9344"/>
        </w:tabs>
        <w:spacing w:line="240" w:lineRule="auto"/>
        <w:rPr>
          <w:rFonts w:hint="eastAsia" w:asciiTheme="minorHAnsi" w:hAnsiTheme="minorHAnsi" w:eastAsiaTheme="minorEastAsia" w:cstheme="minorBidi"/>
          <w:szCs w:val="22"/>
        </w:rPr>
      </w:pPr>
      <w:r>
        <w:fldChar w:fldCharType="begin"/>
      </w:r>
      <w:r>
        <w:instrText xml:space="preserve"> HYPERLINK \l "_Toc200652318" </w:instrText>
      </w:r>
      <w:r>
        <w:fldChar w:fldCharType="separate"/>
      </w:r>
      <w:r>
        <w:rPr>
          <w:rStyle w:val="34"/>
        </w:rPr>
        <w:t>7</w:t>
      </w:r>
      <w:r>
        <w:rPr>
          <w:rStyle w:val="34"/>
          <w:rFonts w:hint="eastAsia"/>
        </w:rPr>
        <w:t xml:space="preserve"> 工艺及设备</w:t>
      </w:r>
      <w:r>
        <w:tab/>
      </w:r>
      <w:r>
        <w:fldChar w:fldCharType="begin"/>
      </w:r>
      <w:r>
        <w:instrText xml:space="preserve"> PAGEREF _Toc200652318 \h </w:instrText>
      </w:r>
      <w:r>
        <w:fldChar w:fldCharType="separate"/>
      </w:r>
      <w:r>
        <w:t>4</w:t>
      </w:r>
      <w:r>
        <w:fldChar w:fldCharType="end"/>
      </w:r>
      <w:r>
        <w:fldChar w:fldCharType="end"/>
      </w:r>
    </w:p>
    <w:p w14:paraId="01A54E20">
      <w:pPr>
        <w:pStyle w:val="25"/>
        <w:spacing w:line="240" w:lineRule="auto"/>
        <w:rPr>
          <w:rFonts w:hint="eastAsia" w:asciiTheme="minorHAnsi" w:hAnsiTheme="minorHAnsi" w:eastAsiaTheme="minorEastAsia" w:cstheme="minorBidi"/>
          <w:szCs w:val="22"/>
        </w:rPr>
      </w:pPr>
      <w:r>
        <w:fldChar w:fldCharType="begin"/>
      </w:r>
      <w:r>
        <w:instrText xml:space="preserve"> HYPERLINK \l "_Toc200652319" </w:instrText>
      </w:r>
      <w:r>
        <w:fldChar w:fldCharType="separate"/>
      </w:r>
      <w:r>
        <w:rPr>
          <w:rStyle w:val="34"/>
          <w14:scene3d w14:prst="orthographicFront">
            <w14:lightRig w14:rig="threePt" w14:dir="t">
              <w14:rot w14:lat="0" w14:lon="0" w14:rev="0"/>
            </w14:lightRig>
          </w14:scene3d>
        </w:rPr>
        <w:t>7.1</w:t>
      </w:r>
      <w:r>
        <w:rPr>
          <w:rStyle w:val="34"/>
          <w:rFonts w:hint="eastAsia"/>
        </w:rPr>
        <w:t xml:space="preserve"> 工艺</w:t>
      </w:r>
      <w:r>
        <w:tab/>
      </w:r>
      <w:r>
        <w:fldChar w:fldCharType="begin"/>
      </w:r>
      <w:r>
        <w:instrText xml:space="preserve"> PAGEREF _Toc200652319 \h </w:instrText>
      </w:r>
      <w:r>
        <w:fldChar w:fldCharType="separate"/>
      </w:r>
      <w:r>
        <w:t>4</w:t>
      </w:r>
      <w:r>
        <w:fldChar w:fldCharType="end"/>
      </w:r>
      <w:r>
        <w:fldChar w:fldCharType="end"/>
      </w:r>
    </w:p>
    <w:p w14:paraId="3DB2DD6B">
      <w:pPr>
        <w:pStyle w:val="25"/>
        <w:spacing w:line="240" w:lineRule="auto"/>
        <w:rPr>
          <w:rFonts w:hint="eastAsia" w:asciiTheme="minorHAnsi" w:hAnsiTheme="minorHAnsi" w:eastAsiaTheme="minorEastAsia" w:cstheme="minorBidi"/>
          <w:szCs w:val="22"/>
        </w:rPr>
      </w:pPr>
      <w:r>
        <w:fldChar w:fldCharType="begin"/>
      </w:r>
      <w:r>
        <w:instrText xml:space="preserve"> HYPERLINK \l "_Toc200652320" </w:instrText>
      </w:r>
      <w:r>
        <w:fldChar w:fldCharType="separate"/>
      </w:r>
      <w:r>
        <w:rPr>
          <w:rStyle w:val="34"/>
          <w14:scene3d w14:prst="orthographicFront">
            <w14:lightRig w14:rig="threePt" w14:dir="t">
              <w14:rot w14:lat="0" w14:lon="0" w14:rev="0"/>
            </w14:lightRig>
          </w14:scene3d>
        </w:rPr>
        <w:t>7.2</w:t>
      </w:r>
      <w:r>
        <w:rPr>
          <w:rStyle w:val="34"/>
          <w:rFonts w:hint="eastAsia"/>
        </w:rPr>
        <w:t xml:space="preserve"> 设备</w:t>
      </w:r>
      <w:r>
        <w:tab/>
      </w:r>
      <w:r>
        <w:fldChar w:fldCharType="begin"/>
      </w:r>
      <w:r>
        <w:instrText xml:space="preserve"> PAGEREF _Toc200652320 \h </w:instrText>
      </w:r>
      <w:r>
        <w:fldChar w:fldCharType="separate"/>
      </w:r>
      <w:r>
        <w:t>4</w:t>
      </w:r>
      <w:r>
        <w:fldChar w:fldCharType="end"/>
      </w:r>
      <w:r>
        <w:fldChar w:fldCharType="end"/>
      </w:r>
    </w:p>
    <w:p w14:paraId="11E529C4">
      <w:pPr>
        <w:pStyle w:val="20"/>
        <w:tabs>
          <w:tab w:val="right" w:leader="dot" w:pos="9344"/>
        </w:tabs>
        <w:spacing w:line="240" w:lineRule="auto"/>
        <w:rPr>
          <w:rFonts w:hint="eastAsia" w:asciiTheme="minorHAnsi" w:hAnsiTheme="minorHAnsi" w:eastAsiaTheme="minorEastAsia" w:cstheme="minorBidi"/>
          <w:szCs w:val="22"/>
        </w:rPr>
      </w:pPr>
      <w:r>
        <w:fldChar w:fldCharType="begin"/>
      </w:r>
      <w:r>
        <w:instrText xml:space="preserve"> HYPERLINK \l "_Toc200652321" </w:instrText>
      </w:r>
      <w:r>
        <w:fldChar w:fldCharType="separate"/>
      </w:r>
      <w:r>
        <w:rPr>
          <w:rStyle w:val="34"/>
        </w:rPr>
        <w:t>8</w:t>
      </w:r>
      <w:r>
        <w:rPr>
          <w:rStyle w:val="34"/>
          <w:rFonts w:hint="eastAsia"/>
        </w:rPr>
        <w:t xml:space="preserve"> 生产管理</w:t>
      </w:r>
      <w:r>
        <w:tab/>
      </w:r>
      <w:r>
        <w:fldChar w:fldCharType="begin"/>
      </w:r>
      <w:r>
        <w:instrText xml:space="preserve"> PAGEREF _Toc200652321 \h </w:instrText>
      </w:r>
      <w:r>
        <w:fldChar w:fldCharType="separate"/>
      </w:r>
      <w:r>
        <w:t>4</w:t>
      </w:r>
      <w:r>
        <w:fldChar w:fldCharType="end"/>
      </w:r>
      <w:r>
        <w:fldChar w:fldCharType="end"/>
      </w:r>
    </w:p>
    <w:p w14:paraId="1F80059E">
      <w:pPr>
        <w:pStyle w:val="25"/>
        <w:spacing w:line="240" w:lineRule="auto"/>
        <w:rPr>
          <w:rFonts w:hint="eastAsia" w:asciiTheme="minorHAnsi" w:hAnsiTheme="minorHAnsi" w:eastAsiaTheme="minorEastAsia" w:cstheme="minorBidi"/>
          <w:szCs w:val="22"/>
        </w:rPr>
      </w:pPr>
      <w:r>
        <w:fldChar w:fldCharType="begin"/>
      </w:r>
      <w:r>
        <w:instrText xml:space="preserve"> HYPERLINK \l "_Toc200652322" </w:instrText>
      </w:r>
      <w:r>
        <w:fldChar w:fldCharType="separate"/>
      </w:r>
      <w:r>
        <w:rPr>
          <w:rStyle w:val="34"/>
          <w14:scene3d w14:prst="orthographicFront">
            <w14:lightRig w14:rig="threePt" w14:dir="t">
              <w14:rot w14:lat="0" w14:lon="0" w14:rev="0"/>
            </w14:lightRig>
          </w14:scene3d>
        </w:rPr>
        <w:t>8.1</w:t>
      </w:r>
      <w:r>
        <w:rPr>
          <w:rStyle w:val="34"/>
          <w:rFonts w:hint="eastAsia"/>
        </w:rPr>
        <w:t xml:space="preserve"> 文件管理</w:t>
      </w:r>
      <w:r>
        <w:tab/>
      </w:r>
      <w:r>
        <w:fldChar w:fldCharType="begin"/>
      </w:r>
      <w:r>
        <w:instrText xml:space="preserve"> PAGEREF _Toc200652322 \h </w:instrText>
      </w:r>
      <w:r>
        <w:fldChar w:fldCharType="separate"/>
      </w:r>
      <w:r>
        <w:t>4</w:t>
      </w:r>
      <w:r>
        <w:fldChar w:fldCharType="end"/>
      </w:r>
      <w:r>
        <w:fldChar w:fldCharType="end"/>
      </w:r>
    </w:p>
    <w:p w14:paraId="0D6447D5">
      <w:pPr>
        <w:pStyle w:val="25"/>
        <w:spacing w:line="240" w:lineRule="auto"/>
        <w:rPr>
          <w:rFonts w:hint="eastAsia" w:asciiTheme="minorHAnsi" w:hAnsiTheme="minorHAnsi" w:eastAsiaTheme="minorEastAsia" w:cstheme="minorBidi"/>
          <w:szCs w:val="22"/>
        </w:rPr>
      </w:pPr>
      <w:r>
        <w:fldChar w:fldCharType="begin"/>
      </w:r>
      <w:r>
        <w:instrText xml:space="preserve"> HYPERLINK \l "_Toc200652323" </w:instrText>
      </w:r>
      <w:r>
        <w:fldChar w:fldCharType="separate"/>
      </w:r>
      <w:r>
        <w:rPr>
          <w:rStyle w:val="34"/>
          <w14:scene3d w14:prst="orthographicFront">
            <w14:lightRig w14:rig="threePt" w14:dir="t">
              <w14:rot w14:lat="0" w14:lon="0" w14:rev="0"/>
            </w14:lightRig>
          </w14:scene3d>
        </w:rPr>
        <w:t>8.2</w:t>
      </w:r>
      <w:r>
        <w:rPr>
          <w:rStyle w:val="34"/>
          <w:rFonts w:hint="eastAsia"/>
        </w:rPr>
        <w:t xml:space="preserve"> 人员管理</w:t>
      </w:r>
      <w:r>
        <w:tab/>
      </w:r>
      <w:r>
        <w:fldChar w:fldCharType="begin"/>
      </w:r>
      <w:r>
        <w:instrText xml:space="preserve"> PAGEREF _Toc200652323 \h </w:instrText>
      </w:r>
      <w:r>
        <w:fldChar w:fldCharType="separate"/>
      </w:r>
      <w:r>
        <w:t>4</w:t>
      </w:r>
      <w:r>
        <w:fldChar w:fldCharType="end"/>
      </w:r>
      <w:r>
        <w:fldChar w:fldCharType="end"/>
      </w:r>
    </w:p>
    <w:p w14:paraId="5B246A27">
      <w:pPr>
        <w:pStyle w:val="25"/>
        <w:spacing w:line="240" w:lineRule="auto"/>
        <w:rPr>
          <w:rFonts w:hint="eastAsia" w:asciiTheme="minorHAnsi" w:hAnsiTheme="minorHAnsi" w:eastAsiaTheme="minorEastAsia" w:cstheme="minorBidi"/>
          <w:szCs w:val="22"/>
        </w:rPr>
      </w:pPr>
      <w:r>
        <w:fldChar w:fldCharType="begin"/>
      </w:r>
      <w:r>
        <w:instrText xml:space="preserve"> HYPERLINK \l "_Toc200652324" </w:instrText>
      </w:r>
      <w:r>
        <w:fldChar w:fldCharType="separate"/>
      </w:r>
      <w:r>
        <w:rPr>
          <w:rStyle w:val="34"/>
          <w14:scene3d w14:prst="orthographicFront">
            <w14:lightRig w14:rig="threePt" w14:dir="t">
              <w14:rot w14:lat="0" w14:lon="0" w14:rev="0"/>
            </w14:lightRig>
          </w14:scene3d>
        </w:rPr>
        <w:t>8.3</w:t>
      </w:r>
      <w:r>
        <w:rPr>
          <w:rStyle w:val="34"/>
          <w:rFonts w:hint="eastAsia"/>
        </w:rPr>
        <w:t xml:space="preserve"> 生产过程管理</w:t>
      </w:r>
      <w:r>
        <w:tab/>
      </w:r>
      <w:r>
        <w:fldChar w:fldCharType="begin"/>
      </w:r>
      <w:r>
        <w:instrText xml:space="preserve"> PAGEREF _Toc200652324 \h </w:instrText>
      </w:r>
      <w:r>
        <w:fldChar w:fldCharType="separate"/>
      </w:r>
      <w:r>
        <w:t>5</w:t>
      </w:r>
      <w:r>
        <w:fldChar w:fldCharType="end"/>
      </w:r>
      <w:r>
        <w:fldChar w:fldCharType="end"/>
      </w:r>
    </w:p>
    <w:p w14:paraId="1F0947B7">
      <w:pPr>
        <w:pStyle w:val="25"/>
        <w:spacing w:line="240" w:lineRule="auto"/>
        <w:rPr>
          <w:rFonts w:hint="eastAsia" w:asciiTheme="minorHAnsi" w:hAnsiTheme="minorHAnsi" w:eastAsiaTheme="minorEastAsia" w:cstheme="minorBidi"/>
          <w:szCs w:val="22"/>
        </w:rPr>
      </w:pPr>
      <w:r>
        <w:fldChar w:fldCharType="begin"/>
      </w:r>
      <w:r>
        <w:instrText xml:space="preserve"> HYPERLINK \l "_Toc200652325" </w:instrText>
      </w:r>
      <w:r>
        <w:fldChar w:fldCharType="separate"/>
      </w:r>
      <w:r>
        <w:rPr>
          <w:rStyle w:val="34"/>
          <w14:scene3d w14:prst="orthographicFront">
            <w14:lightRig w14:rig="threePt" w14:dir="t">
              <w14:rot w14:lat="0" w14:lon="0" w14:rev="0"/>
            </w14:lightRig>
          </w14:scene3d>
        </w:rPr>
        <w:t>8.4</w:t>
      </w:r>
      <w:r>
        <w:rPr>
          <w:rStyle w:val="34"/>
          <w:rFonts w:hint="eastAsia"/>
        </w:rPr>
        <w:t xml:space="preserve"> 仓储管理</w:t>
      </w:r>
      <w:r>
        <w:tab/>
      </w:r>
      <w:r>
        <w:fldChar w:fldCharType="begin"/>
      </w:r>
      <w:r>
        <w:instrText xml:space="preserve"> PAGEREF _Toc200652325 \h </w:instrText>
      </w:r>
      <w:r>
        <w:fldChar w:fldCharType="separate"/>
      </w:r>
      <w:r>
        <w:t>5</w:t>
      </w:r>
      <w:r>
        <w:fldChar w:fldCharType="end"/>
      </w:r>
      <w:r>
        <w:fldChar w:fldCharType="end"/>
      </w:r>
    </w:p>
    <w:p w14:paraId="42110063">
      <w:pPr>
        <w:pStyle w:val="25"/>
        <w:spacing w:line="240" w:lineRule="auto"/>
        <w:rPr>
          <w:rFonts w:hint="eastAsia" w:asciiTheme="minorHAnsi" w:hAnsiTheme="minorHAnsi" w:eastAsiaTheme="minorEastAsia" w:cstheme="minorBidi"/>
          <w:szCs w:val="22"/>
        </w:rPr>
      </w:pPr>
      <w:r>
        <w:fldChar w:fldCharType="begin"/>
      </w:r>
      <w:r>
        <w:instrText xml:space="preserve"> HYPERLINK \l "_Toc200652326" </w:instrText>
      </w:r>
      <w:r>
        <w:fldChar w:fldCharType="separate"/>
      </w:r>
      <w:r>
        <w:rPr>
          <w:rStyle w:val="34"/>
          <w14:scene3d w14:prst="orthographicFront">
            <w14:lightRig w14:rig="threePt" w14:dir="t">
              <w14:rot w14:lat="0" w14:lon="0" w14:rev="0"/>
            </w14:lightRig>
          </w14:scene3d>
        </w:rPr>
        <w:t>8.5</w:t>
      </w:r>
      <w:r>
        <w:rPr>
          <w:rStyle w:val="34"/>
          <w:rFonts w:hint="eastAsia"/>
        </w:rPr>
        <w:t xml:space="preserve"> 质量管理</w:t>
      </w:r>
      <w:r>
        <w:tab/>
      </w:r>
      <w:r>
        <w:fldChar w:fldCharType="begin"/>
      </w:r>
      <w:r>
        <w:instrText xml:space="preserve"> PAGEREF _Toc200652326 \h </w:instrText>
      </w:r>
      <w:r>
        <w:fldChar w:fldCharType="separate"/>
      </w:r>
      <w:r>
        <w:t>5</w:t>
      </w:r>
      <w:r>
        <w:fldChar w:fldCharType="end"/>
      </w:r>
      <w:r>
        <w:fldChar w:fldCharType="end"/>
      </w:r>
    </w:p>
    <w:p w14:paraId="2148A5B1">
      <w:pPr>
        <w:pStyle w:val="20"/>
        <w:tabs>
          <w:tab w:val="right" w:leader="dot" w:pos="9344"/>
        </w:tabs>
        <w:spacing w:line="240" w:lineRule="auto"/>
        <w:rPr>
          <w:rFonts w:hint="eastAsia" w:asciiTheme="minorHAnsi" w:hAnsiTheme="minorHAnsi" w:eastAsiaTheme="minorEastAsia" w:cstheme="minorBidi"/>
          <w:szCs w:val="22"/>
        </w:rPr>
      </w:pPr>
      <w:r>
        <w:fldChar w:fldCharType="begin"/>
      </w:r>
      <w:r>
        <w:instrText xml:space="preserve"> HYPERLINK \l "_Toc200652327" </w:instrText>
      </w:r>
      <w:r>
        <w:fldChar w:fldCharType="separate"/>
      </w:r>
      <w:r>
        <w:rPr>
          <w:rStyle w:val="34"/>
        </w:rPr>
        <w:t>9</w:t>
      </w:r>
      <w:r>
        <w:rPr>
          <w:rStyle w:val="34"/>
          <w:rFonts w:hint="eastAsia"/>
        </w:rPr>
        <w:t xml:space="preserve"> 评价方法</w:t>
      </w:r>
      <w:r>
        <w:tab/>
      </w:r>
      <w:r>
        <w:fldChar w:fldCharType="begin"/>
      </w:r>
      <w:r>
        <w:instrText xml:space="preserve"> PAGEREF _Toc200652327 \h </w:instrText>
      </w:r>
      <w:r>
        <w:fldChar w:fldCharType="separate"/>
      </w:r>
      <w:r>
        <w:t>5</w:t>
      </w:r>
      <w:r>
        <w:fldChar w:fldCharType="end"/>
      </w:r>
      <w:r>
        <w:fldChar w:fldCharType="end"/>
      </w:r>
    </w:p>
    <w:p w14:paraId="7B0934F7">
      <w:pPr>
        <w:pStyle w:val="20"/>
        <w:tabs>
          <w:tab w:val="right" w:leader="dot" w:pos="9344"/>
        </w:tabs>
        <w:spacing w:line="240" w:lineRule="auto"/>
        <w:rPr>
          <w:rFonts w:hint="eastAsia" w:asciiTheme="minorHAnsi" w:hAnsiTheme="minorHAnsi" w:eastAsiaTheme="minorEastAsia" w:cstheme="minorBidi"/>
          <w:szCs w:val="22"/>
        </w:rPr>
      </w:pPr>
      <w:r>
        <w:fldChar w:fldCharType="begin"/>
      </w:r>
      <w:r>
        <w:instrText xml:space="preserve"> HYPERLINK \l "_Toc200652328" </w:instrText>
      </w:r>
      <w:r>
        <w:fldChar w:fldCharType="separate"/>
      </w:r>
      <w:r>
        <w:rPr>
          <w:rStyle w:val="34"/>
          <w:rFonts w:hint="eastAsia"/>
          <w:spacing w:val="100"/>
        </w:rPr>
        <w:t>附录A</w:t>
      </w:r>
      <w:r>
        <w:rPr>
          <w:rStyle w:val="34"/>
          <w:rFonts w:hint="eastAsia"/>
        </w:rPr>
        <w:t xml:space="preserve"> （规范性）</w:t>
      </w:r>
      <w:r>
        <w:rPr>
          <w:rStyle w:val="34"/>
        </w:rPr>
        <w:t xml:space="preserve"> </w:t>
      </w:r>
      <w:r>
        <w:rPr>
          <w:rStyle w:val="34"/>
          <w:rFonts w:hint="eastAsia"/>
        </w:rPr>
        <w:t>兴隆咖啡加工基地评价</w:t>
      </w:r>
      <w:r>
        <w:tab/>
      </w:r>
      <w:r>
        <w:fldChar w:fldCharType="begin"/>
      </w:r>
      <w:r>
        <w:instrText xml:space="preserve"> PAGEREF _Toc200652328 \h </w:instrText>
      </w:r>
      <w:r>
        <w:fldChar w:fldCharType="separate"/>
      </w:r>
      <w:r>
        <w:t>6</w:t>
      </w:r>
      <w:r>
        <w:fldChar w:fldCharType="end"/>
      </w:r>
      <w:r>
        <w:fldChar w:fldCharType="end"/>
      </w:r>
    </w:p>
    <w:p w14:paraId="2B41D461">
      <w:pPr>
        <w:pStyle w:val="25"/>
        <w:spacing w:line="240" w:lineRule="auto"/>
        <w:rPr>
          <w:rFonts w:hint="eastAsia" w:asciiTheme="minorHAnsi" w:hAnsiTheme="minorHAnsi" w:eastAsiaTheme="minorEastAsia" w:cstheme="minorBidi"/>
          <w:szCs w:val="22"/>
        </w:rPr>
      </w:pPr>
      <w:r>
        <w:fldChar w:fldCharType="begin"/>
      </w:r>
      <w:r>
        <w:instrText xml:space="preserve"> HYPERLINK \l "_Toc200652329" </w:instrText>
      </w:r>
      <w:r>
        <w:fldChar w:fldCharType="separate"/>
      </w:r>
      <w:r>
        <w:rPr>
          <w:rStyle w:val="34"/>
        </w:rPr>
        <w:t>A.1</w:t>
      </w:r>
      <w:r>
        <w:rPr>
          <w:rStyle w:val="34"/>
          <w:rFonts w:hint="eastAsia"/>
        </w:rPr>
        <w:t xml:space="preserve"> 兴隆咖啡加工基地评价评分表</w:t>
      </w:r>
      <w:r>
        <w:tab/>
      </w:r>
      <w:r>
        <w:fldChar w:fldCharType="begin"/>
      </w:r>
      <w:r>
        <w:instrText xml:space="preserve"> PAGEREF _Toc200652329 \h </w:instrText>
      </w:r>
      <w:r>
        <w:fldChar w:fldCharType="separate"/>
      </w:r>
      <w:r>
        <w:t>6</w:t>
      </w:r>
      <w:r>
        <w:fldChar w:fldCharType="end"/>
      </w:r>
      <w:r>
        <w:fldChar w:fldCharType="end"/>
      </w:r>
    </w:p>
    <w:p w14:paraId="177D4F67">
      <w:pPr>
        <w:pStyle w:val="25"/>
        <w:rPr>
          <w:rFonts w:hint="eastAsia" w:asciiTheme="minorHAnsi" w:hAnsiTheme="minorHAnsi" w:eastAsiaTheme="minorEastAsia" w:cstheme="minorBidi"/>
          <w:szCs w:val="22"/>
        </w:rPr>
      </w:pPr>
      <w:r>
        <w:fldChar w:fldCharType="begin"/>
      </w:r>
      <w:r>
        <w:instrText xml:space="preserve"> HYPERLINK \l "_Toc200652330" </w:instrText>
      </w:r>
      <w:r>
        <w:fldChar w:fldCharType="separate"/>
      </w:r>
      <w:r>
        <w:rPr>
          <w:rStyle w:val="34"/>
        </w:rPr>
        <w:t>A.2</w:t>
      </w:r>
      <w:r>
        <w:rPr>
          <w:rStyle w:val="34"/>
          <w:rFonts w:hint="eastAsia"/>
        </w:rPr>
        <w:t xml:space="preserve"> 兴隆咖啡加工基地评价结论表</w:t>
      </w:r>
      <w:r>
        <w:tab/>
      </w:r>
      <w:r>
        <w:fldChar w:fldCharType="begin"/>
      </w:r>
      <w:r>
        <w:instrText xml:space="preserve"> PAGEREF _Toc200652330 \h </w:instrText>
      </w:r>
      <w:r>
        <w:fldChar w:fldCharType="separate"/>
      </w:r>
      <w:r>
        <w:t>7</w:t>
      </w:r>
      <w:r>
        <w:fldChar w:fldCharType="end"/>
      </w:r>
      <w:r>
        <w:fldChar w:fldCharType="end"/>
      </w:r>
    </w:p>
    <w:p w14:paraId="3D5BE4CE">
      <w:pPr>
        <w:pStyle w:val="101"/>
        <w:spacing w:after="360"/>
        <w:sectPr>
          <w:headerReference r:id="rId13" w:type="default"/>
          <w:footerReference r:id="rId15" w:type="default"/>
          <w:head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0"/>
    <w:p w14:paraId="09658A22">
      <w:pPr>
        <w:pStyle w:val="99"/>
        <w:spacing w:after="360"/>
      </w:pPr>
      <w:bookmarkStart w:id="21" w:name="_Toc200652295"/>
      <w:bookmarkStart w:id="22" w:name="BookMark3"/>
      <w:r>
        <w:rPr>
          <w:rFonts w:hint="eastAsia"/>
          <w:spacing w:val="320"/>
        </w:rPr>
        <w:t>引</w:t>
      </w:r>
      <w:r>
        <w:rPr>
          <w:rFonts w:hint="eastAsia"/>
        </w:rPr>
        <w:t>言</w:t>
      </w:r>
      <w:bookmarkEnd w:id="21"/>
    </w:p>
    <w:p w14:paraId="1770DEEB">
      <w:pPr>
        <w:pStyle w:val="38"/>
        <w:ind w:firstLine="420"/>
      </w:pPr>
      <w:r>
        <w:rPr>
          <w:rFonts w:hint="eastAsia"/>
        </w:rPr>
        <w:t>兴隆咖啡具有“浓而不苦，香而不烈”的独特风味，极具辨识度，是海南侨乡文化的代表，更是海南旅游的特色名片之一。入选中国农业品牌目录2024农产品区域公用品牌名单和中欧国际互保互认地理标志产品，并获批国家地理标志保护产品和农产品地理保护标志等，产业发展迅速。</w:t>
      </w:r>
    </w:p>
    <w:p w14:paraId="6024A96C">
      <w:pPr>
        <w:pStyle w:val="38"/>
        <w:ind w:firstLine="420"/>
      </w:pPr>
      <w:r>
        <w:rPr>
          <w:rFonts w:hint="eastAsia"/>
        </w:rPr>
        <w:t>兴隆咖啡师劳务品牌建设是为了规范兴隆咖啡产业标准化发展，而开展的制定并应用标准的活动。为了保证兴隆咖啡师品牌建设活动有序开展，促进兴隆咖啡产业发展规划，着力打造“兴隆咖啡师”劳务品牌，实现品牌引领，做强产业，促进就业，增加收入，对兴隆咖啡师劳务品牌建设相关活动确立规则。在该标准体系当中，《兴隆咖啡师劳务品牌》是规范咖啡种植管理、加工、烘焙和咖啡师培训等活动的指导性标准，拟由9部分构成。</w:t>
      </w:r>
    </w:p>
    <w:p w14:paraId="79847C15">
      <w:pPr>
        <w:pStyle w:val="38"/>
        <w:ind w:firstLine="420"/>
      </w:pPr>
      <w:r>
        <w:rPr>
          <w:rFonts w:hint="eastAsia"/>
        </w:rPr>
        <w:t>《兴隆咖啡师劳务品牌  加工基地建设及评价规范》目的在于规范加工基地建设、管理及评价需要遵守的相关规则。</w:t>
      </w:r>
    </w:p>
    <w:p w14:paraId="6A992863">
      <w:pPr>
        <w:pStyle w:val="38"/>
        <w:ind w:firstLine="420"/>
        <w:sectPr>
          <w:pgSz w:w="11906" w:h="16838"/>
          <w:pgMar w:top="1928" w:right="1134" w:bottom="1134" w:left="1134" w:header="1418" w:footer="1134" w:gutter="284"/>
          <w:pgNumType w:fmt="upperRoman"/>
          <w:cols w:space="425" w:num="1"/>
          <w:formProt w:val="0"/>
          <w:docGrid w:linePitch="312" w:charSpace="0"/>
        </w:sectPr>
      </w:pPr>
    </w:p>
    <w:bookmarkEnd w:id="22"/>
    <w:p w14:paraId="10AF5A6D">
      <w:pPr>
        <w:spacing w:line="20" w:lineRule="exact"/>
        <w:jc w:val="center"/>
        <w:rPr>
          <w:rFonts w:hint="eastAsia" w:ascii="黑体" w:hAnsi="黑体" w:eastAsia="黑体"/>
          <w:sz w:val="32"/>
          <w:szCs w:val="32"/>
        </w:rPr>
      </w:pPr>
    </w:p>
    <w:p w14:paraId="322CAFC3">
      <w:pPr>
        <w:spacing w:line="20" w:lineRule="exact"/>
        <w:jc w:val="center"/>
        <w:rPr>
          <w:rFonts w:hint="eastAsia" w:ascii="黑体" w:hAnsi="黑体" w:eastAsia="黑体"/>
          <w:sz w:val="32"/>
          <w:szCs w:val="32"/>
        </w:rPr>
      </w:pPr>
    </w:p>
    <w:sdt>
      <w:sdtPr>
        <w:tag w:val="NEW_STAND_NAME"/>
        <w:id w:val="147475203"/>
        <w:lock w:val="sdtLocked"/>
        <w:placeholder>
          <w:docPart w:val="{54bf73ba-6bc4-473b-8cc9-15f33232e07e}"/>
        </w:placeholder>
      </w:sdtPr>
      <w:sdtContent>
        <w:p w14:paraId="775F8D19">
          <w:pPr>
            <w:pStyle w:val="181"/>
            <w:spacing w:before="240" w:beforeLines="100" w:after="528" w:afterLines="220"/>
            <w:rPr>
              <w:rFonts w:hint="eastAsia"/>
            </w:rPr>
          </w:pPr>
          <w:bookmarkStart w:id="23" w:name="NEW_STAND_NAME"/>
          <w:bookmarkStart w:id="24" w:name="OLE_LINK4"/>
          <w:r>
            <w:rPr>
              <w:rFonts w:hint="eastAsia"/>
            </w:rPr>
            <w:t>兴隆咖啡师劳务品牌</w:t>
          </w:r>
          <w:r>
            <w:t xml:space="preserve">  加工基地建设及评价规范</w:t>
          </w:r>
        </w:p>
      </w:sdtContent>
    </w:sdt>
    <w:bookmarkEnd w:id="23"/>
    <w:bookmarkEnd w:id="24"/>
    <w:p w14:paraId="27B5004E">
      <w:pPr>
        <w:pStyle w:val="40"/>
      </w:pPr>
      <w:bookmarkStart w:id="25" w:name="_Toc200652296"/>
      <w:bookmarkStart w:id="26" w:name="_Toc26986771"/>
      <w:bookmarkStart w:id="27" w:name="_Toc24884218"/>
      <w:bookmarkStart w:id="28" w:name="_Toc26648465"/>
      <w:bookmarkStart w:id="29" w:name="_Toc17233325"/>
      <w:bookmarkStart w:id="30" w:name="_Toc24884211"/>
      <w:bookmarkStart w:id="31" w:name="_Toc26986530"/>
      <w:bookmarkStart w:id="32" w:name="_Toc26718930"/>
      <w:bookmarkStart w:id="33" w:name="_Toc97192964"/>
      <w:bookmarkStart w:id="34" w:name="_Toc17233333"/>
      <w:r>
        <w:rPr>
          <w:rFonts w:hint="eastAsia"/>
        </w:rPr>
        <w:t>范围</w:t>
      </w:r>
      <w:bookmarkEnd w:id="25"/>
      <w:bookmarkEnd w:id="26"/>
      <w:bookmarkEnd w:id="27"/>
      <w:bookmarkEnd w:id="28"/>
      <w:bookmarkEnd w:id="29"/>
      <w:bookmarkEnd w:id="30"/>
      <w:bookmarkEnd w:id="31"/>
      <w:bookmarkEnd w:id="32"/>
      <w:bookmarkEnd w:id="33"/>
      <w:bookmarkEnd w:id="34"/>
    </w:p>
    <w:p w14:paraId="65D96C80">
      <w:pPr>
        <w:pStyle w:val="38"/>
        <w:ind w:firstLine="420"/>
      </w:pPr>
      <w:bookmarkStart w:id="35" w:name="_Toc17233326"/>
      <w:bookmarkStart w:id="36" w:name="_Toc26648466"/>
      <w:bookmarkStart w:id="37" w:name="_Toc24884212"/>
      <w:bookmarkStart w:id="38" w:name="_Toc24884219"/>
      <w:bookmarkStart w:id="39" w:name="_Toc17233334"/>
      <w:r>
        <w:rPr>
          <w:rFonts w:hint="eastAsia"/>
        </w:rPr>
        <w:t>本文件规定了兴隆咖啡加工基地建设与评价的术语和定义、建设、管理及评价规范等要求。</w:t>
      </w:r>
    </w:p>
    <w:p w14:paraId="6124653B">
      <w:pPr>
        <w:pStyle w:val="38"/>
        <w:ind w:firstLine="420"/>
      </w:pPr>
      <w:r>
        <w:rPr>
          <w:rFonts w:hint="eastAsia"/>
        </w:rPr>
        <w:t>本文件适用于兴隆咖啡加工基地的新建、改建、扩建、管理及评价活动。</w:t>
      </w:r>
    </w:p>
    <w:p w14:paraId="4C4C7681">
      <w:pPr>
        <w:pStyle w:val="40"/>
      </w:pPr>
      <w:bookmarkStart w:id="40" w:name="_Toc26986531"/>
      <w:bookmarkStart w:id="41" w:name="_Toc26986772"/>
      <w:bookmarkStart w:id="42" w:name="_Toc200652297"/>
      <w:bookmarkStart w:id="43" w:name="_Toc97192965"/>
      <w:bookmarkStart w:id="44" w:name="_Toc26718931"/>
      <w:r>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47bb8afb-d006-40d7-8b1c-a234a0ec1b6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C6B062F">
          <w:pPr>
            <w:pStyle w:val="3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0D91251">
      <w:pPr>
        <w:pStyle w:val="38"/>
        <w:ind w:firstLine="420"/>
      </w:pPr>
      <w:r>
        <w:t xml:space="preserve">GB 4806.1 </w:t>
      </w:r>
      <w:r>
        <w:rPr>
          <w:rFonts w:hint="eastAsia"/>
        </w:rPr>
        <w:t xml:space="preserve"> </w:t>
      </w:r>
      <w:r>
        <w:t xml:space="preserve">食品安全国家标准食品接触材料及制品通用安全要求 </w:t>
      </w:r>
    </w:p>
    <w:p w14:paraId="42A06DB7">
      <w:pPr>
        <w:pStyle w:val="38"/>
        <w:ind w:firstLine="420"/>
      </w:pPr>
      <w:r>
        <w:t xml:space="preserve">GB 4806.9 </w:t>
      </w:r>
      <w:r>
        <w:rPr>
          <w:rFonts w:hint="eastAsia"/>
        </w:rPr>
        <w:t xml:space="preserve"> </w:t>
      </w:r>
      <w:r>
        <w:t>食品安全国家标准食品接触用金属材料及制品</w:t>
      </w:r>
    </w:p>
    <w:p w14:paraId="1F9DD97A">
      <w:pPr>
        <w:pStyle w:val="38"/>
        <w:ind w:firstLine="420"/>
      </w:pPr>
      <w:r>
        <w:rPr>
          <w:rFonts w:hint="eastAsia"/>
        </w:rPr>
        <w:t>GB 5749  生活饮用水卫生标准</w:t>
      </w:r>
    </w:p>
    <w:p w14:paraId="05ACE88D">
      <w:pPr>
        <w:pStyle w:val="38"/>
        <w:ind w:firstLine="420"/>
      </w:pPr>
      <w:r>
        <w:rPr>
          <w:rFonts w:hint="eastAsia"/>
        </w:rPr>
        <w:t>GB 7718  食品安全国家标准  预包装食品标签通则</w:t>
      </w:r>
    </w:p>
    <w:p w14:paraId="55622AC9">
      <w:pPr>
        <w:pStyle w:val="38"/>
        <w:ind w:firstLine="420"/>
      </w:pPr>
      <w:r>
        <w:rPr>
          <w:rFonts w:hint="eastAsia"/>
        </w:rPr>
        <w:t>GB 8978  污水综合排放标准</w:t>
      </w:r>
    </w:p>
    <w:p w14:paraId="32103863">
      <w:pPr>
        <w:pStyle w:val="38"/>
        <w:ind w:firstLine="420"/>
      </w:pPr>
      <w:r>
        <w:rPr>
          <w:rFonts w:hint="eastAsia"/>
        </w:rPr>
        <w:t>GB 14881  食品安全国家标准  食品生产通用卫生规范</w:t>
      </w:r>
    </w:p>
    <w:p w14:paraId="334FFFDD">
      <w:pPr>
        <w:pStyle w:val="38"/>
        <w:ind w:firstLine="420"/>
      </w:pPr>
      <w:r>
        <w:rPr>
          <w:rFonts w:hint="eastAsia"/>
        </w:rPr>
        <w:t>GB/T 18007  咖啡及其制品术语</w:t>
      </w:r>
    </w:p>
    <w:p w14:paraId="1F178938">
      <w:pPr>
        <w:pStyle w:val="38"/>
        <w:ind w:firstLine="420"/>
      </w:pPr>
      <w:r>
        <w:rPr>
          <w:rFonts w:hint="eastAsia"/>
        </w:rPr>
        <w:t>GB/T 22000  食品安全管理体系  食品链中各类组织的要求</w:t>
      </w:r>
    </w:p>
    <w:p w14:paraId="64F7EB34">
      <w:pPr>
        <w:pStyle w:val="38"/>
        <w:ind w:firstLine="420"/>
      </w:pPr>
      <w:bookmarkStart w:id="45" w:name="OLE_LINK2"/>
      <w:r>
        <w:rPr>
          <w:rFonts w:hint="eastAsia"/>
        </w:rPr>
        <w:t>GB/T 27341</w:t>
      </w:r>
      <w:bookmarkEnd w:id="45"/>
      <w:r>
        <w:rPr>
          <w:rFonts w:hint="eastAsia"/>
        </w:rPr>
        <w:t xml:space="preserve"> </w:t>
      </w:r>
      <w:bookmarkStart w:id="46" w:name="OLE_LINK1"/>
      <w:r>
        <w:rPr>
          <w:rFonts w:hint="eastAsia"/>
        </w:rPr>
        <w:t xml:space="preserve"> 危害分析与关键控制点（HACCP）体系  食品生产企业通用要求</w:t>
      </w:r>
      <w:bookmarkEnd w:id="46"/>
    </w:p>
    <w:p w14:paraId="16071D22">
      <w:pPr>
        <w:pStyle w:val="38"/>
        <w:ind w:firstLine="420"/>
      </w:pPr>
      <w:r>
        <w:rPr>
          <w:rFonts w:hint="eastAsia"/>
        </w:rPr>
        <w:t>GB 28050  食品安全国家标准  预包装食品营养标签通则</w:t>
      </w:r>
    </w:p>
    <w:p w14:paraId="29F562C4">
      <w:pPr>
        <w:pStyle w:val="38"/>
        <w:ind w:firstLine="420"/>
      </w:pPr>
      <w:r>
        <w:rPr>
          <w:rFonts w:hint="eastAsia"/>
        </w:rPr>
        <w:t>GB 50016   建筑设计防火规范</w:t>
      </w:r>
    </w:p>
    <w:p w14:paraId="45DAC2A2">
      <w:pPr>
        <w:pStyle w:val="38"/>
        <w:ind w:firstLine="420"/>
      </w:pPr>
      <w:r>
        <w:rPr>
          <w:rFonts w:hint="eastAsia"/>
        </w:rPr>
        <w:t>GB 50052  供配电系统设计规范</w:t>
      </w:r>
    </w:p>
    <w:p w14:paraId="74699AFD">
      <w:pPr>
        <w:pStyle w:val="38"/>
        <w:ind w:firstLine="420"/>
      </w:pPr>
      <w:r>
        <w:rPr>
          <w:rFonts w:hint="eastAsia"/>
        </w:rPr>
        <w:t>GB 50687  食品工业洁净厂房设计规范</w:t>
      </w:r>
      <w:r>
        <w:t xml:space="preserve"> </w:t>
      </w:r>
    </w:p>
    <w:p w14:paraId="126BC975">
      <w:pPr>
        <w:pStyle w:val="38"/>
        <w:ind w:firstLine="420"/>
      </w:pPr>
      <w:r>
        <w:rPr>
          <w:rFonts w:hint="eastAsia"/>
        </w:rPr>
        <w:t>DB46/T 63  地理标志产品  兴隆咖啡</w:t>
      </w:r>
    </w:p>
    <w:p w14:paraId="4C1C568F">
      <w:pPr>
        <w:pStyle w:val="38"/>
        <w:ind w:firstLine="420"/>
      </w:pPr>
      <w:r>
        <w:rPr>
          <w:rFonts w:hint="eastAsia"/>
        </w:rPr>
        <w:t>T/HNBX 118  兴隆咖啡  初加工技术规程</w:t>
      </w:r>
    </w:p>
    <w:p w14:paraId="7631899B">
      <w:pPr>
        <w:pStyle w:val="38"/>
        <w:ind w:firstLine="420"/>
      </w:pPr>
      <w:r>
        <w:rPr>
          <w:rFonts w:hint="eastAsia"/>
        </w:rPr>
        <w:t>T/HNBX 119  兴隆咖啡  生咖啡包装、贮存及运输规程</w:t>
      </w:r>
    </w:p>
    <w:p w14:paraId="65790175">
      <w:pPr>
        <w:pStyle w:val="38"/>
        <w:ind w:firstLine="420"/>
      </w:pPr>
      <w:r>
        <w:rPr>
          <w:rFonts w:hint="eastAsia"/>
        </w:rPr>
        <w:t>T/HNBX 120  兴隆咖啡  焙炒加工技术规程</w:t>
      </w:r>
    </w:p>
    <w:p w14:paraId="6E39D2F9">
      <w:pPr>
        <w:pStyle w:val="40"/>
      </w:pPr>
      <w:bookmarkStart w:id="47" w:name="_Toc97192966"/>
      <w:bookmarkStart w:id="48" w:name="_Toc200652298"/>
      <w:r>
        <w:rPr>
          <w:rFonts w:hint="eastAsia"/>
        </w:rPr>
        <w:t>术语和定义</w:t>
      </w:r>
      <w:bookmarkEnd w:id="47"/>
      <w:bookmarkEnd w:id="48"/>
    </w:p>
    <w:sdt>
      <w:sdtPr>
        <w:id w:val="-1909835108"/>
        <w:placeholder>
          <w:docPart w:val="{37c7987a-7cad-48c0-b676-2e2c5a84503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B5F82C2">
          <w:pPr>
            <w:pStyle w:val="38"/>
            <w:ind w:firstLine="420"/>
          </w:pPr>
          <w:bookmarkStart w:id="49" w:name="_Toc26986532"/>
          <w:bookmarkEnd w:id="49"/>
          <w:r>
            <w:t>GB/T 18007界定的以及下列术语和定义适用于本文件。</w:t>
          </w:r>
        </w:p>
      </w:sdtContent>
    </w:sdt>
    <w:p w14:paraId="5A282052">
      <w:pPr>
        <w:pStyle w:val="226"/>
        <w:rPr>
          <w:rFonts w:hint="eastAsia"/>
        </w:rPr>
      </w:pPr>
      <w:r>
        <w:br w:type="textWrapping"/>
      </w:r>
      <w:r>
        <w:rPr>
          <w:rFonts w:hint="eastAsia"/>
        </w:rPr>
        <w:t xml:space="preserve"> </w:t>
      </w:r>
      <w:r>
        <w:t xml:space="preserve">   </w:t>
      </w:r>
      <w:r>
        <w:rPr>
          <w:rFonts w:hint="eastAsia"/>
        </w:rPr>
        <w:t>兴隆咖啡加工基地  Xinglong coffee processing base</w:t>
      </w:r>
    </w:p>
    <w:p w14:paraId="506CCD71">
      <w:pPr>
        <w:pStyle w:val="38"/>
        <w:ind w:firstLine="420"/>
      </w:pPr>
      <w:r>
        <w:rPr>
          <w:rFonts w:hint="eastAsia"/>
        </w:rPr>
        <w:t>具有一定加工规模，呈工业化生产模式，专门从事兴隆咖啡豆及制品的原料处理、加工生产、质量控制、仓储物流等活动的综合性场所。其建设、管理及产品需符合DB46/T 63规定的工艺要求、质量标准和产地保护范围。</w:t>
      </w:r>
    </w:p>
    <w:p w14:paraId="79125837">
      <w:pPr>
        <w:pStyle w:val="40"/>
      </w:pPr>
      <w:bookmarkStart w:id="50" w:name="_Toc200652299"/>
      <w:r>
        <w:rPr>
          <w:rFonts w:hint="eastAsia"/>
        </w:rPr>
        <w:t>厂址选择</w:t>
      </w:r>
      <w:bookmarkEnd w:id="50"/>
    </w:p>
    <w:p w14:paraId="4FCF32F6">
      <w:pPr>
        <w:pStyle w:val="166"/>
      </w:pPr>
      <w:r>
        <w:rPr>
          <w:rFonts w:hint="eastAsia"/>
        </w:rPr>
        <w:t>选址和厂区环境应符合GB 14881的规定。</w:t>
      </w:r>
    </w:p>
    <w:p w14:paraId="5AE2E04E">
      <w:pPr>
        <w:pStyle w:val="166"/>
      </w:pPr>
      <w:r>
        <w:rPr>
          <w:rFonts w:hint="eastAsia"/>
        </w:rPr>
        <w:t>宜选择在咖啡种植园相对集中，日照充足、地势平坦、地质结构稳定、交通便捷、通讯方便、供水供电条件有保障的区域。</w:t>
      </w:r>
    </w:p>
    <w:p w14:paraId="4CC4017A">
      <w:pPr>
        <w:pStyle w:val="166"/>
      </w:pPr>
      <w:r>
        <w:rPr>
          <w:rFonts w:hint="eastAsia"/>
        </w:rPr>
        <w:t>选址位于常年主导风向的下风口，周围1000</w:t>
      </w:r>
      <w:r>
        <w:t> </w:t>
      </w:r>
      <w:r>
        <w:rPr>
          <w:rFonts w:hint="eastAsia"/>
        </w:rPr>
        <w:t>m内无粉尘、有害气体、放射性物质和其他扩散性污染源的工业企业，离垃圾场、畜牧场、医院、粪池等具有一定污染性的场所100</w:t>
      </w:r>
      <w:r>
        <w:t> </w:t>
      </w:r>
      <w:r>
        <w:rPr>
          <w:rFonts w:hint="eastAsia"/>
        </w:rPr>
        <w:t>m以上；大气环境应符合GB 3095的要求。</w:t>
      </w:r>
    </w:p>
    <w:p w14:paraId="167989CD">
      <w:pPr>
        <w:pStyle w:val="40"/>
      </w:pPr>
      <w:bookmarkStart w:id="51" w:name="_Toc200652300"/>
      <w:r>
        <w:rPr>
          <w:rFonts w:hint="eastAsia"/>
        </w:rPr>
        <w:t>布局</w:t>
      </w:r>
      <w:bookmarkEnd w:id="51"/>
    </w:p>
    <w:p w14:paraId="4FA84734">
      <w:pPr>
        <w:pStyle w:val="41"/>
      </w:pPr>
      <w:bookmarkStart w:id="52" w:name="_Toc200652301"/>
      <w:r>
        <w:rPr>
          <w:rFonts w:hint="eastAsia"/>
        </w:rPr>
        <w:t>区域布局</w:t>
      </w:r>
      <w:bookmarkEnd w:id="52"/>
    </w:p>
    <w:p w14:paraId="05C0658B">
      <w:pPr>
        <w:pStyle w:val="38"/>
        <w:ind w:firstLine="420"/>
      </w:pPr>
      <w:r>
        <w:rPr>
          <w:rFonts w:hint="eastAsia"/>
        </w:rPr>
        <w:t>区域布局分为生产区、仓储区、办公区和生活区。其中，生产区应包括但不限于初加工车间、烘焙车间、粉碎车间、内包装间、外包装间等作业区域，是进行兴隆咖啡加工的主要区域；仓储区应包括但不限于原料库、成品库、包材库；办公区应包括但不限于行政办公室、技术研发中心、质量检测中心；生活区应包括但不限于宿舍、食堂、运动娱乐设施。可不要求设置初加工车间和生活区。除应符合《中华人民共和国安全生产法》、GB 50016、GB 50687和GB 14881的规定外，还应达到如下要求：</w:t>
      </w:r>
    </w:p>
    <w:p w14:paraId="41043C32">
      <w:pPr>
        <w:pStyle w:val="178"/>
      </w:pPr>
      <w:r>
        <w:rPr>
          <w:rFonts w:hint="eastAsia"/>
        </w:rPr>
        <w:t>根据加工工艺要求合理布局厂房和设备，生产区、仓储区、办公区和生活区相对隔离，互不干扰。</w:t>
      </w:r>
    </w:p>
    <w:p w14:paraId="5A861491">
      <w:pPr>
        <w:pStyle w:val="178"/>
      </w:pPr>
      <w:r>
        <w:rPr>
          <w:rFonts w:hint="eastAsia"/>
        </w:rPr>
        <w:t>厂区环境整洁、无异味，道路应硬化处理，排水系统通畅无积水，厂区内外保持环境清洁。</w:t>
      </w:r>
    </w:p>
    <w:p w14:paraId="64CFE6AD">
      <w:pPr>
        <w:pStyle w:val="178"/>
      </w:pPr>
      <w:r>
        <w:rPr>
          <w:rFonts w:hint="eastAsia"/>
        </w:rPr>
        <w:t>卫生间等应设在生产区的下风口，避免粉尘、烟雾、异味等影响厂区和咖啡质量安全；</w:t>
      </w:r>
    </w:p>
    <w:p w14:paraId="16D1592F">
      <w:pPr>
        <w:pStyle w:val="178"/>
      </w:pPr>
      <w:r>
        <w:rPr>
          <w:rFonts w:hint="eastAsia"/>
        </w:rPr>
        <w:t>从原料进入加工厂起，应按清洁化的原则进行生产加工。</w:t>
      </w:r>
    </w:p>
    <w:p w14:paraId="78572DD9">
      <w:pPr>
        <w:pStyle w:val="178"/>
      </w:pPr>
      <w:r>
        <w:rPr>
          <w:rFonts w:hint="eastAsia"/>
        </w:rPr>
        <w:t>加工车间应具备良好的通风系统，保证空气的流通。通风系统的设计应根据车间的布局和加工工艺进行合理规划，宜采用自然通风与机械通风相结合的方式。</w:t>
      </w:r>
    </w:p>
    <w:p w14:paraId="4386CC80">
      <w:pPr>
        <w:pStyle w:val="178"/>
      </w:pPr>
      <w:r>
        <w:rPr>
          <w:rFonts w:hint="eastAsia"/>
        </w:rPr>
        <w:t>设施设备布局应依据生产工艺流程规划，确保各工序连贯。</w:t>
      </w:r>
    </w:p>
    <w:p w14:paraId="25602F48">
      <w:pPr>
        <w:pStyle w:val="41"/>
      </w:pPr>
      <w:bookmarkStart w:id="53" w:name="_Toc200652302"/>
      <w:r>
        <w:rPr>
          <w:rFonts w:hint="eastAsia"/>
        </w:rPr>
        <w:t>生产区布局</w:t>
      </w:r>
      <w:bookmarkEnd w:id="53"/>
    </w:p>
    <w:p w14:paraId="76029C65">
      <w:pPr>
        <w:pStyle w:val="169"/>
      </w:pPr>
      <w:r>
        <w:rPr>
          <w:rFonts w:hint="eastAsia"/>
        </w:rPr>
        <w:t>生产区面积和空间应与生产能力相适应，便于设备安装及人员操作。</w:t>
      </w:r>
    </w:p>
    <w:p w14:paraId="5D36B438">
      <w:pPr>
        <w:pStyle w:val="169"/>
      </w:pPr>
      <w:r>
        <w:rPr>
          <w:rFonts w:hint="eastAsia"/>
        </w:rPr>
        <w:t>各工序区域布局应符合GB/T 27341、GB/T 22000、</w:t>
      </w:r>
      <w:bookmarkStart w:id="54" w:name="OLE_LINK3"/>
      <w:r>
        <w:rPr>
          <w:rFonts w:hint="eastAsia"/>
        </w:rPr>
        <w:t>T/HNBX 118、</w:t>
      </w:r>
      <w:bookmarkEnd w:id="54"/>
      <w:r>
        <w:rPr>
          <w:rFonts w:hint="eastAsia"/>
        </w:rPr>
        <w:t>T/HNBX 119和T/HNBX 120的要求，做到干湿分离、生熟分离、人物分流，并设置明确的标识。</w:t>
      </w:r>
    </w:p>
    <w:p w14:paraId="16ACA6FB">
      <w:pPr>
        <w:pStyle w:val="169"/>
      </w:pPr>
      <w:r>
        <w:rPr>
          <w:rFonts w:hint="eastAsia"/>
        </w:rPr>
        <w:t>生产车间</w:t>
      </w:r>
      <w:r>
        <w:rPr>
          <w:rFonts w:hint="cs"/>
        </w:rPr>
        <w:t>入口应设置更衣室，内包装间入口</w:t>
      </w:r>
      <w:r>
        <w:rPr>
          <w:rFonts w:hint="eastAsia"/>
        </w:rPr>
        <w:t>宜</w:t>
      </w:r>
      <w:r>
        <w:rPr>
          <w:rFonts w:hint="cs"/>
        </w:rPr>
        <w:t>设置二次更衣室。</w:t>
      </w:r>
    </w:p>
    <w:p w14:paraId="788EAE77">
      <w:pPr>
        <w:pStyle w:val="169"/>
      </w:pPr>
      <w:r>
        <w:rPr>
          <w:rFonts w:hint="eastAsia"/>
        </w:rPr>
        <w:t>生产车间划分为一般作业区、准清洁作业区、清洁作业区。各区之间应有效隔离，防止交叉污染。一般作业区通常包括初加工车间、原料库、包材库、成品库、外包装车间等；准清洁作业区通常包括烘焙车间等；清洁作业区通常包括粉碎车间、内包装间等。</w:t>
      </w:r>
    </w:p>
    <w:p w14:paraId="14C80FC8">
      <w:pPr>
        <w:pStyle w:val="169"/>
      </w:pPr>
      <w:r>
        <w:rPr>
          <w:rFonts w:hint="eastAsia"/>
        </w:rPr>
        <w:t>清洁作业区应参照GB 50687进行设计，备有温湿度控制设备。清洁作业区应达到GB 50687中洁净用房等级III级的要求。清洁作业区内包间温度应≤26</w:t>
      </w:r>
      <w:r>
        <w:t> </w:t>
      </w:r>
      <w:r>
        <w:rPr>
          <w:rFonts w:hint="eastAsia"/>
        </w:rPr>
        <w:t>℃。应对清洁作业区空气进行不定期监测。</w:t>
      </w:r>
    </w:p>
    <w:p w14:paraId="5A122B92">
      <w:pPr>
        <w:pStyle w:val="169"/>
      </w:pPr>
      <w:r>
        <w:rPr>
          <w:rFonts w:hint="eastAsia"/>
        </w:rPr>
        <w:t>在烘焙工序完成后，设置焙炒咖啡豆暂存区，暂存区应具备良好的通风条件。</w:t>
      </w:r>
    </w:p>
    <w:p w14:paraId="061E578F">
      <w:pPr>
        <w:pStyle w:val="169"/>
      </w:pPr>
      <w:r>
        <w:rPr>
          <w:rFonts w:hint="eastAsia"/>
        </w:rPr>
        <w:t>烘焙车间如采用煤气加热，所需气源应设置相对隔离的区域，并注意安全。</w:t>
      </w:r>
    </w:p>
    <w:p w14:paraId="5511C26B">
      <w:pPr>
        <w:pStyle w:val="169"/>
      </w:pPr>
      <w:r>
        <w:rPr>
          <w:rFonts w:hint="eastAsia"/>
        </w:rPr>
        <w:t>粉碎车间与内包装间应相邻设置。</w:t>
      </w:r>
    </w:p>
    <w:p w14:paraId="255C68ED">
      <w:pPr>
        <w:pStyle w:val="41"/>
      </w:pPr>
      <w:bookmarkStart w:id="55" w:name="_Toc200652303"/>
      <w:r>
        <w:rPr>
          <w:rFonts w:hint="eastAsia"/>
        </w:rPr>
        <w:t>仓储区布局</w:t>
      </w:r>
      <w:bookmarkEnd w:id="55"/>
    </w:p>
    <w:p w14:paraId="65320EB5">
      <w:pPr>
        <w:pStyle w:val="169"/>
      </w:pPr>
      <w:r>
        <w:rPr>
          <w:rFonts w:hint="eastAsia"/>
        </w:rPr>
        <w:t>仓储区的面积和空间应与生产能力相适应。</w:t>
      </w:r>
    </w:p>
    <w:p w14:paraId="4C6B21F3">
      <w:pPr>
        <w:pStyle w:val="169"/>
      </w:pPr>
      <w:r>
        <w:rPr>
          <w:rFonts w:hint="eastAsia"/>
        </w:rPr>
        <w:t>仓库应用无毒、坚固的材料建成，仓库地面应平整，便于通风换气。</w:t>
      </w:r>
    </w:p>
    <w:p w14:paraId="45024C35">
      <w:pPr>
        <w:pStyle w:val="41"/>
      </w:pPr>
      <w:bookmarkStart w:id="56" w:name="_Toc200652304"/>
      <w:r>
        <w:rPr>
          <w:rFonts w:hint="eastAsia"/>
        </w:rPr>
        <w:t>办公区布局</w:t>
      </w:r>
      <w:bookmarkEnd w:id="56"/>
    </w:p>
    <w:p w14:paraId="04325A6F">
      <w:pPr>
        <w:pStyle w:val="169"/>
      </w:pPr>
      <w:r>
        <w:rPr>
          <w:rFonts w:hint="eastAsia"/>
        </w:rPr>
        <w:t>办公区应包括办公室、接待室、会议室、技术研发中心和质量检测中心。</w:t>
      </w:r>
    </w:p>
    <w:p w14:paraId="1AC40B40">
      <w:pPr>
        <w:pStyle w:val="169"/>
      </w:pPr>
      <w:r>
        <w:rPr>
          <w:rFonts w:hint="eastAsia"/>
        </w:rPr>
        <w:t>技术研发中心应设实验室、资料室（柜）、独立工位等，其中实验室应配备试验台、仪器设备、杯测工具等。</w:t>
      </w:r>
    </w:p>
    <w:p w14:paraId="6DF04F31">
      <w:pPr>
        <w:pStyle w:val="169"/>
      </w:pPr>
      <w:r>
        <w:rPr>
          <w:rFonts w:hint="eastAsia"/>
        </w:rPr>
        <w:t>质量检测中心应含备样区、理化检验、微生物检验等功能间；其中，微生物检验区应设置缓冲间、更衣区、培养间等。并配备检验设备、试剂和专业检测人员。</w:t>
      </w:r>
    </w:p>
    <w:p w14:paraId="371B0CCD">
      <w:pPr>
        <w:pStyle w:val="41"/>
      </w:pPr>
      <w:bookmarkStart w:id="57" w:name="_Toc200652305"/>
      <w:r>
        <w:rPr>
          <w:rFonts w:hint="eastAsia"/>
        </w:rPr>
        <w:t>生活区布局</w:t>
      </w:r>
      <w:bookmarkEnd w:id="57"/>
    </w:p>
    <w:p w14:paraId="23C6F402">
      <w:pPr>
        <w:pStyle w:val="169"/>
      </w:pPr>
      <w:r>
        <w:rPr>
          <w:rFonts w:hint="eastAsia"/>
        </w:rPr>
        <w:t>生活区应包括宿舍区、食堂区和娱乐区等，应与生产区保持一定距离。</w:t>
      </w:r>
    </w:p>
    <w:p w14:paraId="228BBAE8">
      <w:pPr>
        <w:pStyle w:val="169"/>
      </w:pPr>
      <w:r>
        <w:rPr>
          <w:rFonts w:hint="eastAsia"/>
        </w:rPr>
        <w:t>食堂区应定期清洁消毒，保持环境卫生，并配备消毒设备、冷藏设备等。</w:t>
      </w:r>
    </w:p>
    <w:p w14:paraId="658E2960">
      <w:pPr>
        <w:pStyle w:val="40"/>
      </w:pPr>
      <w:bookmarkStart w:id="58" w:name="_Toc200652306"/>
      <w:r>
        <w:rPr>
          <w:rFonts w:hint="eastAsia"/>
        </w:rPr>
        <w:t>设施</w:t>
      </w:r>
      <w:bookmarkEnd w:id="58"/>
    </w:p>
    <w:p w14:paraId="19D63293">
      <w:pPr>
        <w:pStyle w:val="41"/>
      </w:pPr>
      <w:bookmarkStart w:id="59" w:name="_Toc200652307"/>
      <w:r>
        <w:rPr>
          <w:rFonts w:hint="eastAsia"/>
        </w:rPr>
        <w:t>供电设施</w:t>
      </w:r>
      <w:bookmarkEnd w:id="59"/>
    </w:p>
    <w:p w14:paraId="495EFE0E">
      <w:pPr>
        <w:pStyle w:val="38"/>
        <w:ind w:firstLine="420"/>
      </w:pPr>
      <w:r>
        <w:rPr>
          <w:rFonts w:hint="eastAsia"/>
        </w:rPr>
        <w:t>供电设施设计应符合GB 50052的要求。应确保稳定可靠的电力供应，满足加工设备、照明、通风、温控等系统的用电需求。变压器和配电柜容量、电力分配应与加工规模和设备布局相适应。应设置备用电源，如发电机。</w:t>
      </w:r>
    </w:p>
    <w:p w14:paraId="5C4531F5">
      <w:pPr>
        <w:pStyle w:val="41"/>
      </w:pPr>
      <w:bookmarkStart w:id="60" w:name="_Toc200652308"/>
      <w:r>
        <w:rPr>
          <w:rFonts w:hint="eastAsia"/>
        </w:rPr>
        <w:t>供水设施</w:t>
      </w:r>
      <w:bookmarkEnd w:id="60"/>
    </w:p>
    <w:p w14:paraId="659A59CB">
      <w:pPr>
        <w:pStyle w:val="38"/>
        <w:ind w:firstLine="420"/>
      </w:pPr>
      <w:r>
        <w:rPr>
          <w:rFonts w:hint="eastAsia"/>
        </w:rPr>
        <w:t>生产加工用水应符合GB 5749的要求。供水管路应以无毒、无异味、不导致水质污染的材料，供水设施出入口应增设安全卫生设施，防止异物进入。加工基地应有稳定的水源供应。应建立水质监测制度，定期对加工用水进行检测，确保水质符合要求。</w:t>
      </w:r>
    </w:p>
    <w:p w14:paraId="6D73C01F">
      <w:pPr>
        <w:pStyle w:val="41"/>
      </w:pPr>
      <w:bookmarkStart w:id="61" w:name="_Toc200652309"/>
      <w:r>
        <w:rPr>
          <w:rFonts w:hint="eastAsia"/>
        </w:rPr>
        <w:t>排水设施</w:t>
      </w:r>
      <w:bookmarkEnd w:id="61"/>
    </w:p>
    <w:p w14:paraId="0C9E5D60">
      <w:pPr>
        <w:pStyle w:val="38"/>
        <w:ind w:firstLine="420"/>
      </w:pPr>
      <w:r>
        <w:rPr>
          <w:rFonts w:hint="eastAsia"/>
        </w:rPr>
        <w:t>应符合GB 14881的规定。排水系统出入口设计合理并有防止污染和虫害侵入的措施，并配有相应大小的滤网等装置，防止产生异味及固体废弃物堵塞排水管道。</w:t>
      </w:r>
    </w:p>
    <w:p w14:paraId="3270E5F2">
      <w:pPr>
        <w:pStyle w:val="41"/>
      </w:pPr>
      <w:bookmarkStart w:id="62" w:name="_Toc200652310"/>
      <w:r>
        <w:rPr>
          <w:rFonts w:hint="eastAsia"/>
        </w:rPr>
        <w:t>清洁消毒设施</w:t>
      </w:r>
      <w:bookmarkEnd w:id="62"/>
    </w:p>
    <w:p w14:paraId="303245FD">
      <w:pPr>
        <w:pStyle w:val="169"/>
      </w:pPr>
      <w:r>
        <w:rPr>
          <w:rFonts w:hint="eastAsia"/>
        </w:rPr>
        <w:t>应当根据工艺需要配备相应的食品、工器具和设备的清洁设施，必要时配备相应的消毒设施。</w:t>
      </w:r>
    </w:p>
    <w:p w14:paraId="13B3C2EB">
      <w:pPr>
        <w:pStyle w:val="169"/>
      </w:pPr>
      <w:r>
        <w:rPr>
          <w:rFonts w:hint="eastAsia"/>
        </w:rPr>
        <w:t>应配备内包材的清洁消毒设施，清洁、消毒方式应当避免对食品造成交叉污染，可以采用紫外灯杀菌、臭氧杀菌等方式，使用紫外线消毒的，紫外灯安装离地高度≤2.2</w:t>
      </w:r>
      <w:r>
        <w:t> </w:t>
      </w:r>
      <w:r>
        <w:rPr>
          <w:rFonts w:hint="eastAsia"/>
        </w:rPr>
        <w:t>m；采用臭氧消毒的，应在保证杀菌效果前提下严格控制臭氧浓度。</w:t>
      </w:r>
    </w:p>
    <w:p w14:paraId="72497A33">
      <w:pPr>
        <w:pStyle w:val="41"/>
      </w:pPr>
      <w:bookmarkStart w:id="63" w:name="_Toc200652311"/>
      <w:r>
        <w:rPr>
          <w:rFonts w:hint="eastAsia"/>
        </w:rPr>
        <w:t>人员卫生设施</w:t>
      </w:r>
      <w:bookmarkEnd w:id="63"/>
    </w:p>
    <w:p w14:paraId="07E1E5A6">
      <w:pPr>
        <w:pStyle w:val="169"/>
      </w:pPr>
      <w:r>
        <w:rPr>
          <w:rFonts w:hint="eastAsia"/>
        </w:rPr>
        <w:t>应符合GB 14881的规定。</w:t>
      </w:r>
    </w:p>
    <w:p w14:paraId="0033D32C">
      <w:pPr>
        <w:pStyle w:val="169"/>
      </w:pPr>
      <w:r>
        <w:rPr>
          <w:rFonts w:hint="eastAsia"/>
        </w:rPr>
        <w:t>内包装间等清洁作业区入口宜设置二次更衣室，洗手和消毒设施，换鞋(穿戴鞋套)设施或工作鞋靴消毒设施，风淋设施。</w:t>
      </w:r>
    </w:p>
    <w:p w14:paraId="5F38E57F">
      <w:pPr>
        <w:pStyle w:val="169"/>
      </w:pPr>
      <w:r>
        <w:rPr>
          <w:rFonts w:hint="eastAsia"/>
        </w:rPr>
        <w:t>准清洁作业区和清洁作业区对内入口应与对外出口错开或者形成一定夹角，并设有可自动闭合或手动闭合的门。</w:t>
      </w:r>
    </w:p>
    <w:p w14:paraId="24C920EA">
      <w:pPr>
        <w:pStyle w:val="41"/>
      </w:pPr>
      <w:bookmarkStart w:id="64" w:name="_Toc200652312"/>
      <w:r>
        <w:rPr>
          <w:rFonts w:hint="eastAsia"/>
        </w:rPr>
        <w:t>通风设施</w:t>
      </w:r>
      <w:bookmarkEnd w:id="64"/>
    </w:p>
    <w:p w14:paraId="530088D3">
      <w:pPr>
        <w:pStyle w:val="169"/>
      </w:pPr>
      <w:r>
        <w:rPr>
          <w:rFonts w:hint="eastAsia"/>
        </w:rPr>
        <w:t>应符合GB 14881的规定。</w:t>
      </w:r>
    </w:p>
    <w:p w14:paraId="568DDBFF">
      <w:pPr>
        <w:pStyle w:val="169"/>
      </w:pPr>
      <w:r>
        <w:rPr>
          <w:rFonts w:hint="eastAsia"/>
        </w:rPr>
        <w:t>应根据工艺要求在相关操作区域配备通风系统和空气温度调节设备，并定期对通风系统进行清洁和维护，防止通风管道内积累灰尘和细菌，对车间环境造成二次污染。</w:t>
      </w:r>
    </w:p>
    <w:p w14:paraId="1B3D9B35">
      <w:pPr>
        <w:pStyle w:val="41"/>
      </w:pPr>
      <w:bookmarkStart w:id="65" w:name="_Toc200652313"/>
      <w:r>
        <w:rPr>
          <w:rFonts w:hint="eastAsia"/>
        </w:rPr>
        <w:t>照明设施</w:t>
      </w:r>
      <w:bookmarkEnd w:id="65"/>
    </w:p>
    <w:p w14:paraId="2578045E">
      <w:pPr>
        <w:pStyle w:val="169"/>
      </w:pPr>
      <w:r>
        <w:rPr>
          <w:rFonts w:hint="eastAsia"/>
        </w:rPr>
        <w:t xml:space="preserve">厂房内应有充足的自然采光或人工照明，光泽和亮度应能满足生产和操作需要，光源应能使物料呈现真实的颜色。 </w:t>
      </w:r>
    </w:p>
    <w:p w14:paraId="084C41E6">
      <w:pPr>
        <w:pStyle w:val="169"/>
      </w:pPr>
      <w:r>
        <w:rPr>
          <w:rFonts w:hint="eastAsia"/>
        </w:rPr>
        <w:t xml:space="preserve">厂房内暴露在食品和原辅料正上方的照明设施应当使用安全型或有防护措施的照明设施。 </w:t>
      </w:r>
    </w:p>
    <w:p w14:paraId="7088CD6C">
      <w:pPr>
        <w:pStyle w:val="169"/>
      </w:pPr>
      <w:r>
        <w:rPr>
          <w:rFonts w:hint="eastAsia"/>
        </w:rPr>
        <w:t xml:space="preserve">厂房内的照明光源一般采用“三防”灯具，如工艺有特殊要求，也可采用其它形式光源。 </w:t>
      </w:r>
    </w:p>
    <w:p w14:paraId="4B3DA344">
      <w:pPr>
        <w:pStyle w:val="169"/>
      </w:pPr>
      <w:r>
        <w:rPr>
          <w:rFonts w:hint="eastAsia"/>
        </w:rPr>
        <w:t xml:space="preserve">厂房内一般照明灯具为吸顶明装。如灯具嵌入顶棚暗装时，其安装缝隙应有可靠的密封措施。 </w:t>
      </w:r>
    </w:p>
    <w:p w14:paraId="16AD4B6F">
      <w:pPr>
        <w:pStyle w:val="169"/>
      </w:pPr>
      <w:r>
        <w:rPr>
          <w:rFonts w:hint="eastAsia"/>
        </w:rPr>
        <w:t>厂房内应设置供人员疏散用的应急照明。在安全出口、疏散口和疏散通道转角处设置疏散标志。在专用消防口处应设置红色应急照明灯。</w:t>
      </w:r>
    </w:p>
    <w:p w14:paraId="1133B21A">
      <w:pPr>
        <w:pStyle w:val="41"/>
      </w:pPr>
      <w:bookmarkStart w:id="66" w:name="_Toc200652314"/>
      <w:r>
        <w:rPr>
          <w:rFonts w:hint="eastAsia"/>
        </w:rPr>
        <w:t>生产区设施</w:t>
      </w:r>
      <w:bookmarkEnd w:id="66"/>
    </w:p>
    <w:p w14:paraId="07443B95">
      <w:pPr>
        <w:pStyle w:val="169"/>
      </w:pPr>
      <w:r>
        <w:rPr>
          <w:rFonts w:hint="eastAsia"/>
        </w:rPr>
        <w:t>建筑面积规划应与加工规模和设备布局相适应，确保设备安装、物料存储及人员操作有足够空间。</w:t>
      </w:r>
    </w:p>
    <w:p w14:paraId="5FAE7614">
      <w:pPr>
        <w:pStyle w:val="169"/>
      </w:pPr>
      <w:r>
        <w:rPr>
          <w:rFonts w:hint="eastAsia"/>
        </w:rPr>
        <w:t>生产区的建筑结构应考虑装备的荷载。</w:t>
      </w:r>
    </w:p>
    <w:p w14:paraId="42F4CAE3">
      <w:pPr>
        <w:pStyle w:val="169"/>
      </w:pPr>
      <w:r>
        <w:rPr>
          <w:rFonts w:hint="eastAsia"/>
        </w:rPr>
        <w:t>厂房高度应满足设备安装和操作要求，一般净层高不低于</w:t>
      </w:r>
      <w:r>
        <w:t>4 m</w:t>
      </w:r>
      <w:r>
        <w:rPr>
          <w:rFonts w:hint="eastAsia"/>
        </w:rPr>
        <w:t>。</w:t>
      </w:r>
    </w:p>
    <w:p w14:paraId="44183657">
      <w:pPr>
        <w:pStyle w:val="169"/>
      </w:pPr>
      <w:r>
        <w:rPr>
          <w:rFonts w:hint="eastAsia"/>
        </w:rPr>
        <w:t>地面需进行硬化处理，应采用防滑、耐磨、易清洁的材料。装饰材料应满足保温、防火、防潮、防霉、卫生等要求。</w:t>
      </w:r>
    </w:p>
    <w:p w14:paraId="6FE97335">
      <w:pPr>
        <w:pStyle w:val="169"/>
      </w:pPr>
      <w:r>
        <w:rPr>
          <w:rFonts w:hint="eastAsia"/>
        </w:rPr>
        <w:t>供干燥工艺的设备应设置相对隔离的区域。</w:t>
      </w:r>
    </w:p>
    <w:p w14:paraId="69F59CA8">
      <w:pPr>
        <w:pStyle w:val="169"/>
      </w:pPr>
      <w:r>
        <w:rPr>
          <w:rFonts w:hint="eastAsia"/>
        </w:rPr>
        <w:t>生产过程产生的废水、废气、废渣等进行处理达标后排放。根据产能需要，配备废水收集池、果皮堆放池、果胶收集池和污水处理系统等；应采用环保型的生产设备和工艺，减少废气和废渣的产生。废水排放应符合GB 8978的规定。</w:t>
      </w:r>
    </w:p>
    <w:p w14:paraId="0E87C229">
      <w:pPr>
        <w:pStyle w:val="169"/>
      </w:pPr>
      <w:r>
        <w:rPr>
          <w:rFonts w:hint="eastAsia"/>
        </w:rPr>
        <w:t>车间应配备有效的温控设备，包括但不限于空调系统、温度传感器等。</w:t>
      </w:r>
    </w:p>
    <w:p w14:paraId="09304C4E">
      <w:pPr>
        <w:pStyle w:val="41"/>
      </w:pPr>
      <w:bookmarkStart w:id="67" w:name="_Toc200652315"/>
      <w:r>
        <w:rPr>
          <w:rFonts w:hint="eastAsia"/>
        </w:rPr>
        <w:t>仓储区设施</w:t>
      </w:r>
      <w:bookmarkEnd w:id="67"/>
    </w:p>
    <w:p w14:paraId="1CEC02A9">
      <w:pPr>
        <w:pStyle w:val="169"/>
      </w:pPr>
      <w:r>
        <w:rPr>
          <w:rFonts w:hint="eastAsia"/>
        </w:rPr>
        <w:t>仓储区的面积和空间应与生产能力相适应。</w:t>
      </w:r>
    </w:p>
    <w:p w14:paraId="252EDB52">
      <w:pPr>
        <w:pStyle w:val="169"/>
      </w:pPr>
      <w:r>
        <w:rPr>
          <w:rFonts w:hint="eastAsia"/>
        </w:rPr>
        <w:t>仓储区应根据功能设置分区，包括但不限于原料仓库、成品仓库和包材仓库。</w:t>
      </w:r>
    </w:p>
    <w:p w14:paraId="11A0AF09">
      <w:pPr>
        <w:pStyle w:val="169"/>
      </w:pPr>
      <w:r>
        <w:rPr>
          <w:rFonts w:hint="eastAsia"/>
        </w:rPr>
        <w:t>仓库应用无毒、坚固的材料建成，仓库地面应平整，便于通风换气。</w:t>
      </w:r>
    </w:p>
    <w:p w14:paraId="5C67A25E">
      <w:pPr>
        <w:pStyle w:val="169"/>
      </w:pPr>
      <w:r>
        <w:rPr>
          <w:rFonts w:hint="eastAsia"/>
        </w:rPr>
        <w:t>应配备完善的防潮、防虫、防火等设施，如防潮垫、防虫网、消防设备等。</w:t>
      </w:r>
    </w:p>
    <w:p w14:paraId="0ECCCF89">
      <w:pPr>
        <w:pStyle w:val="169"/>
      </w:pPr>
      <w:r>
        <w:rPr>
          <w:rFonts w:hint="eastAsia"/>
        </w:rPr>
        <w:t>必要时仓库应配备温度、湿度控制系统。</w:t>
      </w:r>
      <w:r>
        <w:t xml:space="preserve"> </w:t>
      </w:r>
    </w:p>
    <w:p w14:paraId="62427703">
      <w:pPr>
        <w:pStyle w:val="41"/>
      </w:pPr>
      <w:bookmarkStart w:id="68" w:name="_Toc200652316"/>
      <w:r>
        <w:rPr>
          <w:rFonts w:hint="eastAsia"/>
        </w:rPr>
        <w:t>办公区设施</w:t>
      </w:r>
      <w:bookmarkEnd w:id="68"/>
    </w:p>
    <w:p w14:paraId="2ADC896E">
      <w:pPr>
        <w:pStyle w:val="169"/>
      </w:pPr>
      <w:r>
        <w:rPr>
          <w:rFonts w:hint="eastAsia"/>
        </w:rPr>
        <w:t>办公区应根据功能设置分区，包括但不限于行政办公室、技术研发中心、质量检测中心。</w:t>
      </w:r>
    </w:p>
    <w:p w14:paraId="6991048B">
      <w:pPr>
        <w:pStyle w:val="169"/>
      </w:pPr>
      <w:r>
        <w:rPr>
          <w:rFonts w:hint="eastAsia"/>
        </w:rPr>
        <w:t>行政办公室负责日常行政管理事务；技术研发中心专注于咖啡加工技术的研究与创新，开发新的产品和工艺；质量检测中心对生产过程中的原材料、半成品和成品进行严格的质量检测，保障产品质量符合标准。</w:t>
      </w:r>
    </w:p>
    <w:p w14:paraId="7B68428D">
      <w:pPr>
        <w:pStyle w:val="41"/>
      </w:pPr>
      <w:bookmarkStart w:id="69" w:name="_Toc200652317"/>
      <w:r>
        <w:rPr>
          <w:rFonts w:hint="eastAsia"/>
        </w:rPr>
        <w:t>生活区</w:t>
      </w:r>
      <w:bookmarkEnd w:id="69"/>
    </w:p>
    <w:p w14:paraId="69CE174D">
      <w:pPr>
        <w:pStyle w:val="38"/>
        <w:ind w:firstLine="420"/>
      </w:pPr>
      <w:r>
        <w:rPr>
          <w:rFonts w:hint="eastAsia"/>
        </w:rPr>
        <w:t>生活区应根据功能设置分区，包括但不限于宿舍、食堂、运动娱乐设施等。</w:t>
      </w:r>
    </w:p>
    <w:p w14:paraId="2260DD62">
      <w:pPr>
        <w:pStyle w:val="40"/>
      </w:pPr>
      <w:bookmarkStart w:id="70" w:name="_Toc200652318"/>
      <w:r>
        <w:rPr>
          <w:rFonts w:hint="eastAsia"/>
        </w:rPr>
        <w:t>工艺及设备</w:t>
      </w:r>
      <w:bookmarkEnd w:id="70"/>
    </w:p>
    <w:p w14:paraId="7919CE77">
      <w:pPr>
        <w:pStyle w:val="41"/>
      </w:pPr>
      <w:bookmarkStart w:id="71" w:name="_Toc200652319"/>
      <w:r>
        <w:rPr>
          <w:rFonts w:hint="eastAsia"/>
        </w:rPr>
        <w:t>工艺</w:t>
      </w:r>
      <w:bookmarkEnd w:id="71"/>
    </w:p>
    <w:p w14:paraId="6E12B193">
      <w:pPr>
        <w:pStyle w:val="169"/>
      </w:pPr>
      <w:r>
        <w:rPr>
          <w:rFonts w:hint="eastAsia"/>
        </w:rPr>
        <w:t>兴隆咖啡初加工工艺应符合T/HNBX 118的要求。</w:t>
      </w:r>
    </w:p>
    <w:p w14:paraId="5E334877">
      <w:pPr>
        <w:pStyle w:val="169"/>
      </w:pPr>
      <w:r>
        <w:rPr>
          <w:rFonts w:hint="eastAsia"/>
        </w:rPr>
        <w:t>烘焙咖啡豆（粉）加工工艺应符合T/HNBX 120的要求。</w:t>
      </w:r>
    </w:p>
    <w:p w14:paraId="706FE501">
      <w:pPr>
        <w:pStyle w:val="41"/>
      </w:pPr>
      <w:bookmarkStart w:id="72" w:name="_Toc200652320"/>
      <w:r>
        <w:rPr>
          <w:rFonts w:hint="eastAsia"/>
        </w:rPr>
        <w:t>设备</w:t>
      </w:r>
      <w:bookmarkEnd w:id="72"/>
    </w:p>
    <w:p w14:paraId="0FB14729">
      <w:pPr>
        <w:pStyle w:val="169"/>
      </w:pPr>
      <w:r>
        <w:rPr>
          <w:rFonts w:hint="eastAsia"/>
        </w:rPr>
        <w:t>根据兴隆咖啡的生产工艺要求，应配备相应的生产加工设备。生产生咖啡的设备可选择鲜果清洗（发酵）池、脱皮机、脱胶机、晾晒架、烘干机、分级筛选机、脱壳机等。生产烘焙咖啡的设备可选择咖啡烘焙机、冷却设备、研磨机、包装机、标签机、喷码机等。应符合GB4806.1、GB4806.6的要求。</w:t>
      </w:r>
    </w:p>
    <w:p w14:paraId="1F03A3AC">
      <w:pPr>
        <w:pStyle w:val="169"/>
      </w:pPr>
      <w:r>
        <w:rPr>
          <w:rFonts w:hint="eastAsia"/>
        </w:rPr>
        <w:t>根据兴隆咖啡生产检验的需要，应配置相关的检验、检测和计量仪器设备。</w:t>
      </w:r>
    </w:p>
    <w:p w14:paraId="69AAC4AA">
      <w:pPr>
        <w:pStyle w:val="169"/>
      </w:pPr>
      <w:r>
        <w:rPr>
          <w:rFonts w:hint="eastAsia"/>
        </w:rPr>
        <w:t>所有的设备、器械、工具、管道等与物料接触面的材质应符合食品卫生要求，并便于拆卸、清洁消毒和检查。</w:t>
      </w:r>
    </w:p>
    <w:p w14:paraId="57479D06">
      <w:pPr>
        <w:pStyle w:val="40"/>
      </w:pPr>
      <w:bookmarkStart w:id="73" w:name="_Toc200652321"/>
      <w:r>
        <w:rPr>
          <w:rFonts w:hint="eastAsia"/>
        </w:rPr>
        <w:t>生产管理</w:t>
      </w:r>
      <w:bookmarkEnd w:id="73"/>
    </w:p>
    <w:p w14:paraId="715FE544">
      <w:pPr>
        <w:pStyle w:val="41"/>
      </w:pPr>
      <w:bookmarkStart w:id="74" w:name="_Toc200652322"/>
      <w:r>
        <w:rPr>
          <w:rFonts w:hint="eastAsia"/>
        </w:rPr>
        <w:t>文件管理</w:t>
      </w:r>
      <w:bookmarkEnd w:id="74"/>
    </w:p>
    <w:p w14:paraId="06EB45BC">
      <w:pPr>
        <w:pStyle w:val="169"/>
      </w:pPr>
      <w:r>
        <w:rPr>
          <w:rFonts w:hint="eastAsia"/>
        </w:rPr>
        <w:t>加工基地应建立有效的质量管理体系，并形成文件，加以实施和保持，并予以持续改进。</w:t>
      </w:r>
    </w:p>
    <w:p w14:paraId="0ADF03A8">
      <w:pPr>
        <w:pStyle w:val="169"/>
      </w:pPr>
      <w:r>
        <w:rPr>
          <w:rFonts w:hint="eastAsia"/>
        </w:rPr>
        <w:t>应建立并保持记录,以提供符合要求和兴隆咖啡加工质量管理体系有效运行的证据。记录应保持清晰、全面、准确、易于识别和检索。应编制形成文件的程序,以规定记录的标识、贮存、保护、检索、保存期限和处置所需的控制。所有记录按有关规定进行保存。</w:t>
      </w:r>
    </w:p>
    <w:p w14:paraId="289C0D03">
      <w:pPr>
        <w:pStyle w:val="169"/>
      </w:pPr>
      <w:r>
        <w:rPr>
          <w:rFonts w:hint="eastAsia"/>
        </w:rPr>
        <w:t>所有生产和质量管理记录应由生产和质量管理部门进行审核，检查中发现异常应及时处理。</w:t>
      </w:r>
    </w:p>
    <w:p w14:paraId="05AC02C9">
      <w:pPr>
        <w:pStyle w:val="41"/>
      </w:pPr>
      <w:bookmarkStart w:id="75" w:name="_Toc200652323"/>
      <w:r>
        <w:rPr>
          <w:rFonts w:hint="eastAsia"/>
        </w:rPr>
        <w:t>人员管理</w:t>
      </w:r>
      <w:bookmarkEnd w:id="75"/>
    </w:p>
    <w:p w14:paraId="32F39291">
      <w:pPr>
        <w:pStyle w:val="169"/>
      </w:pPr>
      <w:r>
        <w:rPr>
          <w:rFonts w:hint="eastAsia"/>
        </w:rPr>
        <w:t>应有生产、质量专职（或兼职）管理人员，且应具备相关专业学历或经过相关专业培训。检验人员应具备专业检验资格和相应专业技能。</w:t>
      </w:r>
    </w:p>
    <w:p w14:paraId="454A8B55">
      <w:pPr>
        <w:pStyle w:val="169"/>
      </w:pPr>
      <w:r>
        <w:rPr>
          <w:rFonts w:hint="eastAsia"/>
        </w:rPr>
        <w:t>生产操作人员应定期进行健康检查，不符合健康要求不得上岗。</w:t>
      </w:r>
    </w:p>
    <w:p w14:paraId="57D020BB">
      <w:pPr>
        <w:pStyle w:val="169"/>
      </w:pPr>
      <w:r>
        <w:rPr>
          <w:rFonts w:hint="eastAsia"/>
        </w:rPr>
        <w:t>生产操作人员应进行必要的岗前培训，掌握基本技能和安全生产要求。</w:t>
      </w:r>
    </w:p>
    <w:p w14:paraId="66849281">
      <w:pPr>
        <w:pStyle w:val="169"/>
      </w:pPr>
      <w:r>
        <w:rPr>
          <w:rFonts w:hint="eastAsia"/>
        </w:rPr>
        <w:t>进入加工车间人员不得佩戴饰物，禁止化妆、染指甲、喷洒香水等，避免产生异味物质，不得携带或存放与咖啡生产无关的个人用品。</w:t>
      </w:r>
    </w:p>
    <w:p w14:paraId="06F54046">
      <w:pPr>
        <w:pStyle w:val="169"/>
      </w:pPr>
      <w:r>
        <w:rPr>
          <w:rFonts w:hint="eastAsia"/>
        </w:rPr>
        <w:t>加工基地应制定年度业务培训计划,组织从业人员参加各种岗前和在职培训及有关专业知识的学习,并建立培训档案。</w:t>
      </w:r>
    </w:p>
    <w:p w14:paraId="09AF7601">
      <w:pPr>
        <w:pStyle w:val="41"/>
      </w:pPr>
      <w:bookmarkStart w:id="76" w:name="_Toc200652324"/>
      <w:r>
        <w:rPr>
          <w:rFonts w:hint="eastAsia"/>
        </w:rPr>
        <w:t>生产过程管理</w:t>
      </w:r>
      <w:bookmarkEnd w:id="76"/>
    </w:p>
    <w:p w14:paraId="2B4EBD29">
      <w:pPr>
        <w:pStyle w:val="169"/>
      </w:pPr>
      <w:r>
        <w:rPr>
          <w:rFonts w:hint="eastAsia"/>
        </w:rPr>
        <w:t>加工现场的管理应符合 GB 14881的要求。</w:t>
      </w:r>
    </w:p>
    <w:p w14:paraId="06BB9B99">
      <w:pPr>
        <w:pStyle w:val="169"/>
      </w:pPr>
      <w:r>
        <w:rPr>
          <w:rFonts w:hint="eastAsia"/>
        </w:rPr>
        <w:t>做到工序清晰、工位明确，与咖啡加工无关的物品不得放置于生产区域内。</w:t>
      </w:r>
    </w:p>
    <w:p w14:paraId="664CFDEB">
      <w:pPr>
        <w:pStyle w:val="169"/>
      </w:pPr>
      <w:r>
        <w:rPr>
          <w:rFonts w:hint="eastAsia"/>
        </w:rPr>
        <w:t>产品生产前应确认或制定产品加工工艺、操作规程、产品配方、产品质量标准和检验规则,并形成文件加以控制。根据工艺要求，对生产过程实施控制，并做过程控制记录。</w:t>
      </w:r>
    </w:p>
    <w:p w14:paraId="32B60932">
      <w:pPr>
        <w:pStyle w:val="169"/>
      </w:pPr>
      <w:r>
        <w:rPr>
          <w:rFonts w:hint="eastAsia"/>
        </w:rPr>
        <w:t>严格执行设备操作规程，做好设备的日常维修和保养，并做记录。</w:t>
      </w:r>
    </w:p>
    <w:p w14:paraId="0C8BA16D">
      <w:pPr>
        <w:pStyle w:val="169"/>
      </w:pPr>
      <w:r>
        <w:rPr>
          <w:rFonts w:hint="eastAsia"/>
        </w:rPr>
        <w:t>生产原辅料及包材应离墙离地堆放，禁止与有毒、有害、有异味及会造成污染的物品混放。原辅料及包材应分类分区存放，并明确标识。</w:t>
      </w:r>
    </w:p>
    <w:p w14:paraId="63BC9967">
      <w:pPr>
        <w:pStyle w:val="169"/>
      </w:pPr>
      <w:r>
        <w:rPr>
          <w:rFonts w:hint="eastAsia"/>
        </w:rPr>
        <w:t>加工产生的废弃物要及时进行无害化处置、资源化利用，不能影响周围环境。</w:t>
      </w:r>
    </w:p>
    <w:p w14:paraId="5555F735">
      <w:pPr>
        <w:pStyle w:val="41"/>
      </w:pPr>
      <w:bookmarkStart w:id="77" w:name="_Toc200652325"/>
      <w:r>
        <w:rPr>
          <w:rFonts w:hint="eastAsia"/>
        </w:rPr>
        <w:t>仓储管理</w:t>
      </w:r>
      <w:bookmarkEnd w:id="77"/>
    </w:p>
    <w:p w14:paraId="5DF99095">
      <w:pPr>
        <w:pStyle w:val="169"/>
      </w:pPr>
      <w:r>
        <w:rPr>
          <w:rFonts w:hint="eastAsia"/>
        </w:rPr>
        <w:t>原辅料、半成品和成品储存应防霉、防虫、防鼠,并分类明码存放，原辅料的储存应按照产品的储藏温度要求设置常温或低温库,并对温度进行监控和记录。</w:t>
      </w:r>
    </w:p>
    <w:p w14:paraId="4A2C8649">
      <w:pPr>
        <w:pStyle w:val="169"/>
      </w:pPr>
      <w:r>
        <w:rPr>
          <w:rFonts w:hint="eastAsia"/>
        </w:rPr>
        <w:t>存放的物品应定期检查,发现异常应及时处理。</w:t>
      </w:r>
    </w:p>
    <w:p w14:paraId="2928766A">
      <w:pPr>
        <w:pStyle w:val="169"/>
      </w:pPr>
      <w:r>
        <w:rPr>
          <w:rFonts w:hint="eastAsia"/>
        </w:rPr>
        <w:t>仓库出货顺序应按“先进先出”的原则，并对外观品质进行检查。包装破损的产品,应重新检验合格后方可出货。</w:t>
      </w:r>
    </w:p>
    <w:p w14:paraId="10537676">
      <w:pPr>
        <w:pStyle w:val="41"/>
      </w:pPr>
      <w:bookmarkStart w:id="78" w:name="_Toc200652326"/>
      <w:r>
        <w:rPr>
          <w:rFonts w:hint="eastAsia"/>
        </w:rPr>
        <w:t>质量管理</w:t>
      </w:r>
      <w:bookmarkEnd w:id="78"/>
    </w:p>
    <w:p w14:paraId="6CF437F3">
      <w:pPr>
        <w:pStyle w:val="169"/>
      </w:pPr>
      <w:r>
        <w:rPr>
          <w:rFonts w:hint="eastAsia"/>
        </w:rPr>
        <w:t>工厂应配备负责质量管理的人员，并对产品质量实行全程追溯管理，做到生产有记录、出厂有审核。</w:t>
      </w:r>
    </w:p>
    <w:p w14:paraId="7013501F">
      <w:pPr>
        <w:pStyle w:val="169"/>
      </w:pPr>
      <w:r>
        <w:rPr>
          <w:rFonts w:hint="eastAsia"/>
        </w:rPr>
        <w:t>应选择有资质的供应商，制定原辅料、包材等的采购与验收标准，形成有效的控制程序文件并执行。</w:t>
      </w:r>
    </w:p>
    <w:p w14:paraId="2FF5B65D">
      <w:pPr>
        <w:pStyle w:val="169"/>
      </w:pPr>
      <w:r>
        <w:rPr>
          <w:rFonts w:hint="eastAsia"/>
        </w:rPr>
        <w:t>应依据产品生产流程中的危害性分析与危害性评估结果，确定质量关键控制点，制定质量关键控制点的检验项目、检验标准、检验频次，抽样及检验方法等</w:t>
      </w:r>
      <w:bookmarkStart w:id="79" w:name="OLE_LINK6"/>
      <w:r>
        <w:rPr>
          <w:rFonts w:hint="eastAsia"/>
        </w:rPr>
        <w:t>，严格执行并记录。</w:t>
      </w:r>
      <w:bookmarkEnd w:id="79"/>
    </w:p>
    <w:p w14:paraId="0061E66E">
      <w:pPr>
        <w:pStyle w:val="169"/>
      </w:pPr>
      <w:r>
        <w:rPr>
          <w:rFonts w:hint="eastAsia"/>
        </w:rPr>
        <w:t>应详细制定产品的规格、检验项目、检验标准、抽样、检验方法及不合格品处置措施。检验项目应不低于产品的出厂检验要求。检验结果应填写“检验报告单”。</w:t>
      </w:r>
    </w:p>
    <w:p w14:paraId="46D1B8DE">
      <w:pPr>
        <w:pStyle w:val="169"/>
      </w:pPr>
      <w:r>
        <w:rPr>
          <w:rFonts w:hint="eastAsia"/>
        </w:rPr>
        <w:t>预包装定量食品的标签应符合GB 7718、GB 28050和国家相关规定的要求。应在外包装上以明码或暗码表示生产批号,以利仓储管理及成品可追溯作业。</w:t>
      </w:r>
    </w:p>
    <w:p w14:paraId="76ADEB3F">
      <w:pPr>
        <w:pStyle w:val="169"/>
      </w:pPr>
      <w:r>
        <w:rPr>
          <w:rFonts w:hint="eastAsia"/>
        </w:rPr>
        <w:t>成品装运前应对进出货用的容器，车辆等运输工具进行卫生检查。运输工具应无污染、无虫害、无异味。</w:t>
      </w:r>
    </w:p>
    <w:p w14:paraId="0926CCDF">
      <w:pPr>
        <w:pStyle w:val="40"/>
      </w:pPr>
      <w:bookmarkStart w:id="80" w:name="_Toc200652327"/>
      <w:r>
        <w:rPr>
          <w:rFonts w:hint="eastAsia"/>
        </w:rPr>
        <w:t>评价方法</w:t>
      </w:r>
      <w:bookmarkEnd w:id="80"/>
    </w:p>
    <w:p w14:paraId="308E3997">
      <w:pPr>
        <w:pStyle w:val="166"/>
      </w:pPr>
      <w:r>
        <w:rPr>
          <w:rFonts w:hint="eastAsia"/>
        </w:rPr>
        <w:t>评价分为自我评价和外部评价两种方式。</w:t>
      </w:r>
    </w:p>
    <w:p w14:paraId="5B4420A2">
      <w:pPr>
        <w:pStyle w:val="166"/>
      </w:pPr>
      <w:r>
        <w:rPr>
          <w:rFonts w:hint="eastAsia"/>
        </w:rPr>
        <w:t>各加工基地自行开展的评价为自我评价，相关方组织的评价为外部评价。</w:t>
      </w:r>
    </w:p>
    <w:p w14:paraId="5FA4CB54">
      <w:pPr>
        <w:pStyle w:val="166"/>
      </w:pPr>
      <w:r>
        <w:rPr>
          <w:rFonts w:hint="eastAsia"/>
        </w:rPr>
        <w:t>应采用定性判断与定量分析相结合的方式进行评价。</w:t>
      </w:r>
    </w:p>
    <w:p w14:paraId="5019459C">
      <w:pPr>
        <w:pStyle w:val="166"/>
      </w:pPr>
      <w:r>
        <w:rPr>
          <w:rFonts w:hint="eastAsia"/>
        </w:rPr>
        <w:t>评价指标体系应采用层析分析法和目标比较法，根据评价内容进行合理设置。</w:t>
      </w:r>
    </w:p>
    <w:p w14:paraId="74904151">
      <w:pPr>
        <w:pStyle w:val="166"/>
        <w:rPr>
          <w:vanish/>
        </w:rPr>
      </w:pPr>
      <w:r>
        <w:rPr>
          <w:rFonts w:hint="eastAsia"/>
        </w:rPr>
        <w:t>应按照附录A开展兴隆咖啡加工基地评价。</w:t>
      </w:r>
    </w:p>
    <w:p w14:paraId="5D26C3D9">
      <w:pPr>
        <w:pStyle w:val="38"/>
        <w:ind w:firstLine="420"/>
      </w:pPr>
    </w:p>
    <w:p w14:paraId="33344CC0">
      <w:pPr>
        <w:pStyle w:val="38"/>
        <w:ind w:firstLine="420"/>
        <w:sectPr>
          <w:pgSz w:w="11906" w:h="16838"/>
          <w:pgMar w:top="1928" w:right="1134" w:bottom="1134" w:left="1134" w:header="1418" w:footer="1134" w:gutter="284"/>
          <w:pgNumType w:start="1"/>
          <w:cols w:space="425" w:num="1"/>
          <w:formProt w:val="0"/>
          <w:docGrid w:linePitch="312" w:charSpace="0"/>
        </w:sectPr>
      </w:pPr>
    </w:p>
    <w:p w14:paraId="78713152">
      <w:pPr>
        <w:pStyle w:val="201"/>
        <w:rPr>
          <w:rFonts w:hint="eastAsia"/>
          <w:vanish w:val="0"/>
        </w:rPr>
      </w:pPr>
      <w:bookmarkStart w:id="81" w:name="BookMark5"/>
    </w:p>
    <w:p w14:paraId="297E133F">
      <w:pPr>
        <w:pStyle w:val="202"/>
        <w:rPr>
          <w:vanish w:val="0"/>
        </w:rPr>
      </w:pPr>
    </w:p>
    <w:p w14:paraId="64B5267C">
      <w:pPr>
        <w:pStyle w:val="86"/>
      </w:pPr>
      <w:r>
        <w:br w:type="textWrapping"/>
      </w:r>
      <w:bookmarkStart w:id="82" w:name="_Toc200652328"/>
      <w:r>
        <w:rPr>
          <w:rFonts w:hint="eastAsia"/>
        </w:rPr>
        <w:t>（规范性）</w:t>
      </w:r>
      <w:r>
        <w:br w:type="textWrapping"/>
      </w:r>
      <w:r>
        <w:rPr>
          <w:rFonts w:hint="eastAsia"/>
        </w:rPr>
        <w:t>兴隆咖啡加工基地评价</w:t>
      </w:r>
      <w:bookmarkEnd w:id="82"/>
    </w:p>
    <w:p w14:paraId="149251A5">
      <w:pPr>
        <w:pStyle w:val="88"/>
        <w:spacing w:before="120" w:after="120"/>
      </w:pPr>
      <w:bookmarkStart w:id="83" w:name="_Toc200652329"/>
      <w:r>
        <w:rPr>
          <w:rFonts w:hint="eastAsia"/>
        </w:rPr>
        <w:t>兴隆咖啡加工基地评价评分表</w:t>
      </w:r>
      <w:bookmarkEnd w:id="83"/>
    </w:p>
    <w:p w14:paraId="4C52DE50">
      <w:pPr>
        <w:pStyle w:val="38"/>
        <w:ind w:firstLine="420"/>
      </w:pPr>
      <w:bookmarkStart w:id="84" w:name="_Hlk200292849"/>
      <w:r>
        <w:rPr>
          <w:rFonts w:hint="eastAsia"/>
        </w:rPr>
        <w:t>表A.1规定了兴隆咖啡加工基地评价评分表的内容。</w:t>
      </w:r>
    </w:p>
    <w:bookmarkEnd w:id="84"/>
    <w:p w14:paraId="222785D2">
      <w:pPr>
        <w:pStyle w:val="87"/>
      </w:pPr>
      <w:r>
        <w:rPr>
          <w:rFonts w:hint="eastAsia"/>
        </w:rPr>
        <w:t>兴隆咖啡加工基地评价评分表</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5"/>
        <w:gridCol w:w="1258"/>
        <w:gridCol w:w="4368"/>
        <w:gridCol w:w="992"/>
        <w:gridCol w:w="1831"/>
      </w:tblGrid>
      <w:tr w14:paraId="45D23D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5" w:type="dxa"/>
            <w:tcBorders>
              <w:top w:val="single" w:color="auto" w:sz="8" w:space="0"/>
              <w:bottom w:val="single" w:color="auto" w:sz="8" w:space="0"/>
            </w:tcBorders>
            <w:shd w:val="clear" w:color="auto" w:fill="auto"/>
            <w:vAlign w:val="center"/>
          </w:tcPr>
          <w:p w14:paraId="61458C33">
            <w:pPr>
              <w:pStyle w:val="182"/>
              <w:rPr>
                <w:color w:val="000000" w:themeColor="text1"/>
                <w14:textFill>
                  <w14:solidFill>
                    <w14:schemeClr w14:val="tx1"/>
                  </w14:solidFill>
                </w14:textFill>
              </w:rPr>
            </w:pPr>
            <w:r>
              <w:rPr>
                <w:rFonts w:hint="eastAsia" w:ascii="黑体" w:hAnsi="黑体" w:eastAsia="黑体"/>
                <w:color w:val="000000" w:themeColor="text1"/>
                <w:szCs w:val="18"/>
                <w14:textFill>
                  <w14:solidFill>
                    <w14:schemeClr w14:val="tx1"/>
                  </w14:solidFill>
                </w14:textFill>
              </w:rPr>
              <w:t>一级指标</w:t>
            </w:r>
          </w:p>
        </w:tc>
        <w:tc>
          <w:tcPr>
            <w:tcW w:w="1258" w:type="dxa"/>
            <w:tcBorders>
              <w:top w:val="single" w:color="auto" w:sz="8" w:space="0"/>
              <w:bottom w:val="single" w:color="auto" w:sz="8" w:space="0"/>
            </w:tcBorders>
            <w:shd w:val="clear" w:color="auto" w:fill="auto"/>
            <w:vAlign w:val="center"/>
          </w:tcPr>
          <w:p w14:paraId="4420623C">
            <w:pPr>
              <w:pStyle w:val="182"/>
              <w:rPr>
                <w:color w:val="000000" w:themeColor="text1"/>
                <w14:textFill>
                  <w14:solidFill>
                    <w14:schemeClr w14:val="tx1"/>
                  </w14:solidFill>
                </w14:textFill>
              </w:rPr>
            </w:pPr>
            <w:r>
              <w:rPr>
                <w:rFonts w:hint="eastAsia" w:ascii="黑体" w:hAnsi="黑体" w:eastAsia="黑体"/>
                <w:color w:val="000000" w:themeColor="text1"/>
                <w:szCs w:val="18"/>
                <w14:textFill>
                  <w14:solidFill>
                    <w14:schemeClr w14:val="tx1"/>
                  </w14:solidFill>
                </w14:textFill>
              </w:rPr>
              <w:t>二级指标</w:t>
            </w:r>
          </w:p>
        </w:tc>
        <w:tc>
          <w:tcPr>
            <w:tcW w:w="4368" w:type="dxa"/>
            <w:tcBorders>
              <w:top w:val="single" w:color="auto" w:sz="8" w:space="0"/>
              <w:bottom w:val="single" w:color="auto" w:sz="8" w:space="0"/>
            </w:tcBorders>
            <w:shd w:val="clear" w:color="auto" w:fill="auto"/>
            <w:vAlign w:val="center"/>
          </w:tcPr>
          <w:p w14:paraId="29656C3E">
            <w:pPr>
              <w:pStyle w:val="182"/>
              <w:rPr>
                <w:color w:val="000000" w:themeColor="text1"/>
                <w14:textFill>
                  <w14:solidFill>
                    <w14:schemeClr w14:val="tx1"/>
                  </w14:solidFill>
                </w14:textFill>
              </w:rPr>
            </w:pPr>
            <w:r>
              <w:rPr>
                <w:rFonts w:hint="eastAsia" w:ascii="黑体" w:hAnsi="黑体" w:eastAsia="黑体"/>
                <w:color w:val="000000" w:themeColor="text1"/>
                <w:szCs w:val="18"/>
                <w14:textFill>
                  <w14:solidFill>
                    <w14:schemeClr w14:val="tx1"/>
                  </w14:solidFill>
                </w14:textFill>
              </w:rPr>
              <w:t>评分标准</w:t>
            </w:r>
          </w:p>
        </w:tc>
        <w:tc>
          <w:tcPr>
            <w:tcW w:w="992" w:type="dxa"/>
            <w:tcBorders>
              <w:top w:val="single" w:color="auto" w:sz="8" w:space="0"/>
              <w:bottom w:val="single" w:color="auto" w:sz="8" w:space="0"/>
            </w:tcBorders>
          </w:tcPr>
          <w:p w14:paraId="32F65533">
            <w:pPr>
              <w:pStyle w:val="182"/>
              <w:rPr>
                <w:rFonts w:hint="eastAsia" w:ascii="黑体" w:hAnsi="黑体" w:eastAsia="黑体"/>
                <w:color w:val="000000" w:themeColor="text1"/>
                <w:szCs w:val="18"/>
                <w14:textFill>
                  <w14:solidFill>
                    <w14:schemeClr w14:val="tx1"/>
                  </w14:solidFill>
                </w14:textFill>
              </w:rPr>
            </w:pPr>
            <w:r>
              <w:rPr>
                <w:rFonts w:hint="eastAsia" w:ascii="黑体" w:hAnsi="黑体" w:eastAsia="黑体"/>
                <w:color w:val="000000" w:themeColor="text1"/>
                <w:szCs w:val="18"/>
                <w14:textFill>
                  <w14:solidFill>
                    <w14:schemeClr w14:val="tx1"/>
                  </w14:solidFill>
                </w14:textFill>
              </w:rPr>
              <w:t>得分</w:t>
            </w:r>
          </w:p>
        </w:tc>
        <w:tc>
          <w:tcPr>
            <w:tcW w:w="1831" w:type="dxa"/>
            <w:tcBorders>
              <w:top w:val="single" w:color="auto" w:sz="8" w:space="0"/>
              <w:bottom w:val="single" w:color="auto" w:sz="8" w:space="0"/>
            </w:tcBorders>
          </w:tcPr>
          <w:p w14:paraId="2F2F54BA">
            <w:pPr>
              <w:pStyle w:val="182"/>
              <w:rPr>
                <w:rFonts w:hint="eastAsia" w:ascii="黑体" w:hAnsi="黑体" w:eastAsia="黑体"/>
                <w:color w:val="000000" w:themeColor="text1"/>
                <w:szCs w:val="18"/>
                <w14:textFill>
                  <w14:solidFill>
                    <w14:schemeClr w14:val="tx1"/>
                  </w14:solidFill>
                </w14:textFill>
              </w:rPr>
            </w:pPr>
            <w:r>
              <w:rPr>
                <w:rFonts w:hint="eastAsia" w:ascii="黑体" w:hAnsi="黑体" w:eastAsia="黑体"/>
                <w:color w:val="000000" w:themeColor="text1"/>
                <w:szCs w:val="18"/>
                <w14:textFill>
                  <w14:solidFill>
                    <w14:schemeClr w14:val="tx1"/>
                  </w14:solidFill>
                </w14:textFill>
              </w:rPr>
              <w:t>评价记录</w:t>
            </w:r>
          </w:p>
        </w:tc>
      </w:tr>
      <w:tr w14:paraId="63621D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5" w:type="dxa"/>
            <w:vMerge w:val="restart"/>
            <w:tcBorders>
              <w:top w:val="single" w:color="auto" w:sz="8" w:space="0"/>
            </w:tcBorders>
            <w:shd w:val="clear" w:color="auto" w:fill="auto"/>
            <w:vAlign w:val="center"/>
          </w:tcPr>
          <w:p w14:paraId="2D821735">
            <w:pPr>
              <w:pStyle w:val="182"/>
              <w:rPr>
                <w:color w:val="000000" w:themeColor="text1"/>
                <w14:textFill>
                  <w14:solidFill>
                    <w14:schemeClr w14:val="tx1"/>
                  </w14:solidFill>
                </w14:textFill>
              </w:rPr>
            </w:pPr>
            <w:r>
              <w:rPr>
                <w:rFonts w:hint="eastAsia"/>
                <w:color w:val="000000" w:themeColor="text1"/>
                <w14:textFill>
                  <w14:solidFill>
                    <w14:schemeClr w14:val="tx1"/>
                  </w14:solidFill>
                </w14:textFill>
              </w:rPr>
              <w:t>规划布局</w:t>
            </w:r>
          </w:p>
          <w:p w14:paraId="72C10BA4">
            <w:pPr>
              <w:pStyle w:val="182"/>
              <w:rPr>
                <w:color w:val="000000" w:themeColor="text1"/>
                <w14:textFill>
                  <w14:solidFill>
                    <w14:schemeClr w14:val="tx1"/>
                  </w14:solidFill>
                </w14:textFill>
              </w:rPr>
            </w:pPr>
            <w:r>
              <w:rPr>
                <w:rFonts w:hint="eastAsia"/>
                <w:color w:val="000000" w:themeColor="text1"/>
                <w14:textFill>
                  <w14:solidFill>
                    <w14:schemeClr w14:val="tx1"/>
                  </w14:solidFill>
                </w14:textFill>
              </w:rPr>
              <w:t>（15分）</w:t>
            </w:r>
          </w:p>
        </w:tc>
        <w:tc>
          <w:tcPr>
            <w:tcW w:w="1258" w:type="dxa"/>
            <w:tcBorders>
              <w:top w:val="single" w:color="auto" w:sz="8" w:space="0"/>
            </w:tcBorders>
            <w:shd w:val="clear" w:color="auto" w:fill="auto"/>
            <w:vAlign w:val="center"/>
          </w:tcPr>
          <w:p w14:paraId="72E8860A">
            <w:pPr>
              <w:pStyle w:val="182"/>
              <w:rPr>
                <w:color w:val="000000" w:themeColor="text1"/>
                <w14:textFill>
                  <w14:solidFill>
                    <w14:schemeClr w14:val="tx1"/>
                  </w14:solidFill>
                </w14:textFill>
              </w:rPr>
            </w:pPr>
            <w:r>
              <w:rPr>
                <w:rFonts w:hint="eastAsia"/>
                <w:color w:val="000000" w:themeColor="text1"/>
                <w14:textFill>
                  <w14:solidFill>
                    <w14:schemeClr w14:val="tx1"/>
                  </w14:solidFill>
                </w14:textFill>
              </w:rPr>
              <w:t>选址合理性（</w:t>
            </w:r>
          </w:p>
          <w:p w14:paraId="5D6B2A63">
            <w:pPr>
              <w:pStyle w:val="182"/>
              <w:rPr>
                <w:color w:val="000000" w:themeColor="text1"/>
                <w14:textFill>
                  <w14:solidFill>
                    <w14:schemeClr w14:val="tx1"/>
                  </w14:solidFill>
                </w14:textFill>
              </w:rPr>
            </w:pPr>
            <w:r>
              <w:rPr>
                <w:rFonts w:hint="eastAsia"/>
                <w:color w:val="000000" w:themeColor="text1"/>
                <w14:textFill>
                  <w14:solidFill>
                    <w14:schemeClr w14:val="tx1"/>
                  </w14:solidFill>
                </w14:textFill>
              </w:rPr>
              <w:t>5分）</w:t>
            </w:r>
          </w:p>
        </w:tc>
        <w:tc>
          <w:tcPr>
            <w:tcW w:w="4368" w:type="dxa"/>
            <w:tcBorders>
              <w:top w:val="single" w:color="auto" w:sz="8" w:space="0"/>
            </w:tcBorders>
            <w:shd w:val="clear" w:color="auto" w:fill="auto"/>
            <w:vAlign w:val="center"/>
          </w:tcPr>
          <w:p w14:paraId="7346026F">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符合交通便利、原料供应充足、周边环境无污染等要求得4-5分；</w:t>
            </w:r>
          </w:p>
          <w:p w14:paraId="5FD860CC">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部分符合得2-3分；</w:t>
            </w:r>
          </w:p>
          <w:p w14:paraId="0B065159">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不符合项较多得0-1分。</w:t>
            </w:r>
          </w:p>
        </w:tc>
        <w:tc>
          <w:tcPr>
            <w:tcW w:w="992" w:type="dxa"/>
            <w:tcBorders>
              <w:top w:val="single" w:color="auto" w:sz="8" w:space="0"/>
            </w:tcBorders>
          </w:tcPr>
          <w:p w14:paraId="0C6B71A4">
            <w:pPr>
              <w:pStyle w:val="182"/>
              <w:jc w:val="left"/>
              <w:rPr>
                <w:color w:val="000000" w:themeColor="text1"/>
                <w14:textFill>
                  <w14:solidFill>
                    <w14:schemeClr w14:val="tx1"/>
                  </w14:solidFill>
                </w14:textFill>
              </w:rPr>
            </w:pPr>
          </w:p>
        </w:tc>
        <w:tc>
          <w:tcPr>
            <w:tcW w:w="1831" w:type="dxa"/>
            <w:tcBorders>
              <w:top w:val="single" w:color="auto" w:sz="8" w:space="0"/>
            </w:tcBorders>
          </w:tcPr>
          <w:p w14:paraId="10F35DCC">
            <w:pPr>
              <w:pStyle w:val="182"/>
              <w:jc w:val="left"/>
              <w:rPr>
                <w:color w:val="000000" w:themeColor="text1"/>
                <w14:textFill>
                  <w14:solidFill>
                    <w14:schemeClr w14:val="tx1"/>
                  </w14:solidFill>
                </w14:textFill>
              </w:rPr>
            </w:pPr>
          </w:p>
        </w:tc>
      </w:tr>
      <w:tr w14:paraId="1B9D41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5" w:type="dxa"/>
            <w:vMerge w:val="continue"/>
            <w:shd w:val="clear" w:color="auto" w:fill="auto"/>
            <w:vAlign w:val="center"/>
          </w:tcPr>
          <w:p w14:paraId="4623A7A7">
            <w:pPr>
              <w:pStyle w:val="182"/>
              <w:rPr>
                <w:color w:val="000000" w:themeColor="text1"/>
                <w14:textFill>
                  <w14:solidFill>
                    <w14:schemeClr w14:val="tx1"/>
                  </w14:solidFill>
                </w14:textFill>
              </w:rPr>
            </w:pPr>
          </w:p>
        </w:tc>
        <w:tc>
          <w:tcPr>
            <w:tcW w:w="1258" w:type="dxa"/>
            <w:shd w:val="clear" w:color="auto" w:fill="auto"/>
            <w:vAlign w:val="center"/>
          </w:tcPr>
          <w:p w14:paraId="60E38A3B">
            <w:pPr>
              <w:pStyle w:val="182"/>
              <w:rPr>
                <w:rFonts w:hint="eastAsia" w:hAnsi="宋体"/>
                <w:color w:val="000000" w:themeColor="text1"/>
                <w:szCs w:val="18"/>
                <w14:textFill>
                  <w14:solidFill>
                    <w14:schemeClr w14:val="tx1"/>
                  </w14:solidFill>
                </w14:textFill>
              </w:rPr>
            </w:pPr>
            <w:r>
              <w:rPr>
                <w:rFonts w:hint="eastAsia" w:hAnsi="宋体"/>
                <w:color w:val="000000" w:themeColor="text1"/>
                <w:szCs w:val="18"/>
                <w14:textFill>
                  <w14:solidFill>
                    <w14:schemeClr w14:val="tx1"/>
                  </w14:solidFill>
                </w14:textFill>
              </w:rPr>
              <w:t>功能区划分</w:t>
            </w:r>
          </w:p>
          <w:p w14:paraId="143AEE1A">
            <w:pPr>
              <w:pStyle w:val="182"/>
              <w:rPr>
                <w:color w:val="000000" w:themeColor="text1"/>
                <w14:textFill>
                  <w14:solidFill>
                    <w14:schemeClr w14:val="tx1"/>
                  </w14:solidFill>
                </w14:textFill>
              </w:rPr>
            </w:pPr>
            <w:r>
              <w:rPr>
                <w:rFonts w:hint="eastAsia"/>
                <w:color w:val="000000" w:themeColor="text1"/>
                <w14:textFill>
                  <w14:solidFill>
                    <w14:schemeClr w14:val="tx1"/>
                  </w14:solidFill>
                </w14:textFill>
              </w:rPr>
              <w:t>（5分）</w:t>
            </w:r>
          </w:p>
        </w:tc>
        <w:tc>
          <w:tcPr>
            <w:tcW w:w="4368" w:type="dxa"/>
            <w:shd w:val="clear" w:color="auto" w:fill="auto"/>
            <w:vAlign w:val="center"/>
          </w:tcPr>
          <w:p w14:paraId="33CD07CE">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加工区、仓储区、质检区等划分科学合理，布局紧凑得4-5分；</w:t>
            </w:r>
          </w:p>
          <w:p w14:paraId="5BB131B1">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划分较合理得 2-3分；</w:t>
            </w:r>
          </w:p>
          <w:p w14:paraId="37CC348F">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划分不合理得 0-1分。</w:t>
            </w:r>
          </w:p>
        </w:tc>
        <w:tc>
          <w:tcPr>
            <w:tcW w:w="992" w:type="dxa"/>
          </w:tcPr>
          <w:p w14:paraId="300922F3">
            <w:pPr>
              <w:pStyle w:val="182"/>
              <w:jc w:val="left"/>
              <w:rPr>
                <w:color w:val="000000" w:themeColor="text1"/>
                <w14:textFill>
                  <w14:solidFill>
                    <w14:schemeClr w14:val="tx1"/>
                  </w14:solidFill>
                </w14:textFill>
              </w:rPr>
            </w:pPr>
          </w:p>
        </w:tc>
        <w:tc>
          <w:tcPr>
            <w:tcW w:w="1831" w:type="dxa"/>
          </w:tcPr>
          <w:p w14:paraId="698E8550">
            <w:pPr>
              <w:pStyle w:val="182"/>
              <w:jc w:val="left"/>
              <w:rPr>
                <w:color w:val="000000" w:themeColor="text1"/>
                <w14:textFill>
                  <w14:solidFill>
                    <w14:schemeClr w14:val="tx1"/>
                  </w14:solidFill>
                </w14:textFill>
              </w:rPr>
            </w:pPr>
          </w:p>
        </w:tc>
      </w:tr>
      <w:tr w14:paraId="27B94A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5" w:type="dxa"/>
            <w:vMerge w:val="continue"/>
            <w:shd w:val="clear" w:color="auto" w:fill="auto"/>
            <w:vAlign w:val="center"/>
          </w:tcPr>
          <w:p w14:paraId="7AE1EE9E">
            <w:pPr>
              <w:pStyle w:val="182"/>
              <w:rPr>
                <w:color w:val="000000" w:themeColor="text1"/>
                <w14:textFill>
                  <w14:solidFill>
                    <w14:schemeClr w14:val="tx1"/>
                  </w14:solidFill>
                </w14:textFill>
              </w:rPr>
            </w:pPr>
          </w:p>
        </w:tc>
        <w:tc>
          <w:tcPr>
            <w:tcW w:w="1258" w:type="dxa"/>
            <w:shd w:val="clear" w:color="auto" w:fill="auto"/>
            <w:vAlign w:val="center"/>
          </w:tcPr>
          <w:p w14:paraId="488C0F12">
            <w:pPr>
              <w:pStyle w:val="182"/>
              <w:rPr>
                <w:rFonts w:hint="eastAsia" w:hAnsi="宋体"/>
                <w:color w:val="000000" w:themeColor="text1"/>
                <w:szCs w:val="18"/>
                <w14:textFill>
                  <w14:solidFill>
                    <w14:schemeClr w14:val="tx1"/>
                  </w14:solidFill>
                </w14:textFill>
              </w:rPr>
            </w:pPr>
            <w:r>
              <w:rPr>
                <w:rFonts w:hint="eastAsia" w:hAnsi="宋体"/>
                <w:color w:val="000000" w:themeColor="text1"/>
                <w:szCs w:val="18"/>
                <w14:textFill>
                  <w14:solidFill>
                    <w14:schemeClr w14:val="tx1"/>
                  </w14:solidFill>
                </w14:textFill>
              </w:rPr>
              <w:t>道路系统规划</w:t>
            </w:r>
          </w:p>
          <w:p w14:paraId="402B0021">
            <w:pPr>
              <w:pStyle w:val="182"/>
              <w:rPr>
                <w:color w:val="000000" w:themeColor="text1"/>
                <w14:textFill>
                  <w14:solidFill>
                    <w14:schemeClr w14:val="tx1"/>
                  </w14:solidFill>
                </w14:textFill>
              </w:rPr>
            </w:pPr>
            <w:r>
              <w:rPr>
                <w:rFonts w:hint="eastAsia"/>
                <w:color w:val="000000" w:themeColor="text1"/>
                <w14:textFill>
                  <w14:solidFill>
                    <w14:schemeClr w14:val="tx1"/>
                  </w14:solidFill>
                </w14:textFill>
              </w:rPr>
              <w:t>（5分）</w:t>
            </w:r>
          </w:p>
        </w:tc>
        <w:tc>
          <w:tcPr>
            <w:tcW w:w="4368" w:type="dxa"/>
            <w:shd w:val="clear" w:color="auto" w:fill="auto"/>
            <w:vAlign w:val="center"/>
          </w:tcPr>
          <w:p w14:paraId="4CB0BC9E">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道路布局合理，主干道、支道满足运输需求得2-3分；</w:t>
            </w:r>
          </w:p>
          <w:p w14:paraId="3340CFF1">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基本满足得1分；</w:t>
            </w:r>
          </w:p>
          <w:p w14:paraId="58762285">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不满足得0分。</w:t>
            </w:r>
          </w:p>
        </w:tc>
        <w:tc>
          <w:tcPr>
            <w:tcW w:w="992" w:type="dxa"/>
          </w:tcPr>
          <w:p w14:paraId="47173D94">
            <w:pPr>
              <w:pStyle w:val="182"/>
              <w:jc w:val="left"/>
              <w:rPr>
                <w:color w:val="000000" w:themeColor="text1"/>
                <w14:textFill>
                  <w14:solidFill>
                    <w14:schemeClr w14:val="tx1"/>
                  </w14:solidFill>
                </w14:textFill>
              </w:rPr>
            </w:pPr>
          </w:p>
        </w:tc>
        <w:tc>
          <w:tcPr>
            <w:tcW w:w="1831" w:type="dxa"/>
          </w:tcPr>
          <w:p w14:paraId="61A23ADE">
            <w:pPr>
              <w:pStyle w:val="182"/>
              <w:jc w:val="left"/>
              <w:rPr>
                <w:color w:val="000000" w:themeColor="text1"/>
                <w14:textFill>
                  <w14:solidFill>
                    <w14:schemeClr w14:val="tx1"/>
                  </w14:solidFill>
                </w14:textFill>
              </w:rPr>
            </w:pPr>
          </w:p>
        </w:tc>
      </w:tr>
      <w:tr w14:paraId="424259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5" w:type="dxa"/>
            <w:vMerge w:val="continue"/>
            <w:shd w:val="clear" w:color="auto" w:fill="auto"/>
            <w:vAlign w:val="center"/>
          </w:tcPr>
          <w:p w14:paraId="0A62D099">
            <w:pPr>
              <w:pStyle w:val="182"/>
              <w:rPr>
                <w:color w:val="000000" w:themeColor="text1"/>
                <w14:textFill>
                  <w14:solidFill>
                    <w14:schemeClr w14:val="tx1"/>
                  </w14:solidFill>
                </w14:textFill>
              </w:rPr>
            </w:pPr>
          </w:p>
        </w:tc>
        <w:tc>
          <w:tcPr>
            <w:tcW w:w="1258" w:type="dxa"/>
            <w:shd w:val="clear" w:color="auto" w:fill="auto"/>
            <w:vAlign w:val="center"/>
          </w:tcPr>
          <w:p w14:paraId="0BE93269">
            <w:pPr>
              <w:pStyle w:val="182"/>
              <w:rPr>
                <w:rFonts w:hint="eastAsia" w:hAnsi="宋体"/>
                <w:color w:val="000000" w:themeColor="text1"/>
                <w:szCs w:val="18"/>
                <w14:textFill>
                  <w14:solidFill>
                    <w14:schemeClr w14:val="tx1"/>
                  </w14:solidFill>
                </w14:textFill>
              </w:rPr>
            </w:pPr>
            <w:r>
              <w:rPr>
                <w:rFonts w:hint="eastAsia" w:hAnsi="宋体"/>
                <w:color w:val="000000" w:themeColor="text1"/>
                <w:szCs w:val="18"/>
                <w14:textFill>
                  <w14:solidFill>
                    <w14:schemeClr w14:val="tx1"/>
                  </w14:solidFill>
                </w14:textFill>
              </w:rPr>
              <w:t>通风排水系统规划</w:t>
            </w:r>
          </w:p>
          <w:p w14:paraId="0C3F9BCC">
            <w:pPr>
              <w:pStyle w:val="182"/>
              <w:rPr>
                <w:color w:val="000000" w:themeColor="text1"/>
                <w14:textFill>
                  <w14:solidFill>
                    <w14:schemeClr w14:val="tx1"/>
                  </w14:solidFill>
                </w14:textFill>
              </w:rPr>
            </w:pPr>
            <w:r>
              <w:rPr>
                <w:rFonts w:hint="eastAsia" w:hAnsi="宋体"/>
                <w:color w:val="000000" w:themeColor="text1"/>
                <w:szCs w:val="18"/>
                <w14:textFill>
                  <w14:solidFill>
                    <w14:schemeClr w14:val="tx1"/>
                  </w14:solidFill>
                </w14:textFill>
              </w:rPr>
              <w:t>（5分）</w:t>
            </w:r>
          </w:p>
        </w:tc>
        <w:tc>
          <w:tcPr>
            <w:tcW w:w="4368" w:type="dxa"/>
            <w:shd w:val="clear" w:color="auto" w:fill="auto"/>
            <w:vAlign w:val="center"/>
          </w:tcPr>
          <w:p w14:paraId="7F4896AE">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通风和排水系统设计科学，能有效满足需求得1-2分；</w:t>
            </w:r>
          </w:p>
          <w:p w14:paraId="1EC98C8C">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存在部分问题得0分。</w:t>
            </w:r>
          </w:p>
        </w:tc>
        <w:tc>
          <w:tcPr>
            <w:tcW w:w="992" w:type="dxa"/>
          </w:tcPr>
          <w:p w14:paraId="352189BD">
            <w:pPr>
              <w:pStyle w:val="182"/>
              <w:jc w:val="left"/>
              <w:rPr>
                <w:color w:val="000000" w:themeColor="text1"/>
                <w14:textFill>
                  <w14:solidFill>
                    <w14:schemeClr w14:val="tx1"/>
                  </w14:solidFill>
                </w14:textFill>
              </w:rPr>
            </w:pPr>
          </w:p>
        </w:tc>
        <w:tc>
          <w:tcPr>
            <w:tcW w:w="1831" w:type="dxa"/>
          </w:tcPr>
          <w:p w14:paraId="62ADD7F2">
            <w:pPr>
              <w:pStyle w:val="182"/>
              <w:jc w:val="left"/>
              <w:rPr>
                <w:color w:val="000000" w:themeColor="text1"/>
                <w14:textFill>
                  <w14:solidFill>
                    <w14:schemeClr w14:val="tx1"/>
                  </w14:solidFill>
                </w14:textFill>
              </w:rPr>
            </w:pPr>
          </w:p>
        </w:tc>
      </w:tr>
      <w:tr w14:paraId="0450A9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5" w:type="dxa"/>
            <w:vMerge w:val="restart"/>
            <w:shd w:val="clear" w:color="auto" w:fill="auto"/>
            <w:vAlign w:val="center"/>
          </w:tcPr>
          <w:p w14:paraId="06679DA9">
            <w:pPr>
              <w:pStyle w:val="182"/>
              <w:rPr>
                <w:color w:val="000000" w:themeColor="text1"/>
                <w14:textFill>
                  <w14:solidFill>
                    <w14:schemeClr w14:val="tx1"/>
                  </w14:solidFill>
                </w14:textFill>
              </w:rPr>
            </w:pPr>
            <w:r>
              <w:rPr>
                <w:rFonts w:hint="eastAsia"/>
                <w:color w:val="000000" w:themeColor="text1"/>
                <w14:textFill>
                  <w14:solidFill>
                    <w14:schemeClr w14:val="tx1"/>
                  </w14:solidFill>
                </w14:textFill>
              </w:rPr>
              <w:t>设施设备</w:t>
            </w:r>
          </w:p>
          <w:p w14:paraId="50181DF5">
            <w:pPr>
              <w:pStyle w:val="182"/>
              <w:rPr>
                <w:color w:val="000000" w:themeColor="text1"/>
                <w14:textFill>
                  <w14:solidFill>
                    <w14:schemeClr w14:val="tx1"/>
                  </w14:solidFill>
                </w14:textFill>
              </w:rPr>
            </w:pPr>
            <w:r>
              <w:rPr>
                <w:rFonts w:hint="eastAsia"/>
                <w:color w:val="000000" w:themeColor="text1"/>
                <w14:textFill>
                  <w14:solidFill>
                    <w14:schemeClr w14:val="tx1"/>
                  </w14:solidFill>
                </w14:textFill>
              </w:rPr>
              <w:t>（15分）</w:t>
            </w:r>
          </w:p>
        </w:tc>
        <w:tc>
          <w:tcPr>
            <w:tcW w:w="1258" w:type="dxa"/>
            <w:shd w:val="clear" w:color="auto" w:fill="auto"/>
            <w:vAlign w:val="center"/>
          </w:tcPr>
          <w:p w14:paraId="4842175F">
            <w:pPr>
              <w:pStyle w:val="182"/>
              <w:rPr>
                <w:rFonts w:hint="eastAsia" w:hAnsi="宋体"/>
                <w:color w:val="000000" w:themeColor="text1"/>
                <w:szCs w:val="18"/>
                <w14:textFill>
                  <w14:solidFill>
                    <w14:schemeClr w14:val="tx1"/>
                  </w14:solidFill>
                </w14:textFill>
              </w:rPr>
            </w:pPr>
            <w:r>
              <w:rPr>
                <w:rFonts w:hint="eastAsia" w:hAnsi="宋体"/>
                <w:color w:val="000000" w:themeColor="text1"/>
                <w:szCs w:val="18"/>
                <w14:textFill>
                  <w14:solidFill>
                    <w14:schemeClr w14:val="tx1"/>
                  </w14:solidFill>
                </w14:textFill>
              </w:rPr>
              <w:t>加工设备</w:t>
            </w:r>
          </w:p>
          <w:p w14:paraId="2A876969">
            <w:pPr>
              <w:pStyle w:val="182"/>
              <w:rPr>
                <w:color w:val="000000" w:themeColor="text1"/>
                <w14:textFill>
                  <w14:solidFill>
                    <w14:schemeClr w14:val="tx1"/>
                  </w14:solidFill>
                </w14:textFill>
              </w:rPr>
            </w:pPr>
            <w:r>
              <w:rPr>
                <w:rFonts w:hint="eastAsia" w:hAnsi="宋体"/>
                <w:color w:val="000000" w:themeColor="text1"/>
                <w:szCs w:val="18"/>
                <w14:textFill>
                  <w14:solidFill>
                    <w14:schemeClr w14:val="tx1"/>
                  </w14:solidFill>
                </w14:textFill>
              </w:rPr>
              <w:t>（5分）</w:t>
            </w:r>
          </w:p>
        </w:tc>
        <w:tc>
          <w:tcPr>
            <w:tcW w:w="4368" w:type="dxa"/>
            <w:shd w:val="clear" w:color="auto" w:fill="auto"/>
            <w:vAlign w:val="center"/>
          </w:tcPr>
          <w:p w14:paraId="27E3A914">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设备齐全、运行正常、工艺先进得4-5分；</w:t>
            </w:r>
          </w:p>
          <w:p w14:paraId="63DA2620">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设备基本满足需求得2-3分；</w:t>
            </w:r>
          </w:p>
          <w:p w14:paraId="42F58CDD">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设备不足得0分。</w:t>
            </w:r>
          </w:p>
        </w:tc>
        <w:tc>
          <w:tcPr>
            <w:tcW w:w="992" w:type="dxa"/>
          </w:tcPr>
          <w:p w14:paraId="6129E20F">
            <w:pPr>
              <w:pStyle w:val="182"/>
              <w:jc w:val="left"/>
              <w:rPr>
                <w:color w:val="000000" w:themeColor="text1"/>
                <w14:textFill>
                  <w14:solidFill>
                    <w14:schemeClr w14:val="tx1"/>
                  </w14:solidFill>
                </w14:textFill>
              </w:rPr>
            </w:pPr>
          </w:p>
        </w:tc>
        <w:tc>
          <w:tcPr>
            <w:tcW w:w="1831" w:type="dxa"/>
          </w:tcPr>
          <w:p w14:paraId="1ED2493F">
            <w:pPr>
              <w:pStyle w:val="182"/>
              <w:jc w:val="left"/>
              <w:rPr>
                <w:color w:val="000000" w:themeColor="text1"/>
                <w14:textFill>
                  <w14:solidFill>
                    <w14:schemeClr w14:val="tx1"/>
                  </w14:solidFill>
                </w14:textFill>
              </w:rPr>
            </w:pPr>
          </w:p>
        </w:tc>
      </w:tr>
      <w:tr w14:paraId="226C1C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5" w:type="dxa"/>
            <w:vMerge w:val="continue"/>
            <w:shd w:val="clear" w:color="auto" w:fill="auto"/>
            <w:vAlign w:val="center"/>
          </w:tcPr>
          <w:p w14:paraId="2589A5F1">
            <w:pPr>
              <w:pStyle w:val="182"/>
              <w:rPr>
                <w:color w:val="000000" w:themeColor="text1"/>
                <w14:textFill>
                  <w14:solidFill>
                    <w14:schemeClr w14:val="tx1"/>
                  </w14:solidFill>
                </w14:textFill>
              </w:rPr>
            </w:pPr>
          </w:p>
        </w:tc>
        <w:tc>
          <w:tcPr>
            <w:tcW w:w="1258" w:type="dxa"/>
            <w:shd w:val="clear" w:color="auto" w:fill="auto"/>
            <w:vAlign w:val="center"/>
          </w:tcPr>
          <w:p w14:paraId="2CAFD775">
            <w:pPr>
              <w:pStyle w:val="182"/>
              <w:rPr>
                <w:rFonts w:hint="eastAsia" w:hAnsi="宋体"/>
                <w:color w:val="000000" w:themeColor="text1"/>
                <w:szCs w:val="18"/>
                <w14:textFill>
                  <w14:solidFill>
                    <w14:schemeClr w14:val="tx1"/>
                  </w14:solidFill>
                </w14:textFill>
              </w:rPr>
            </w:pPr>
            <w:r>
              <w:rPr>
                <w:rFonts w:hint="eastAsia" w:hAnsi="宋体"/>
                <w:color w:val="000000" w:themeColor="text1"/>
                <w:szCs w:val="18"/>
                <w14:textFill>
                  <w14:solidFill>
                    <w14:schemeClr w14:val="tx1"/>
                  </w14:solidFill>
                </w14:textFill>
              </w:rPr>
              <w:t>包装设备</w:t>
            </w:r>
          </w:p>
          <w:p w14:paraId="70E9733A">
            <w:pPr>
              <w:pStyle w:val="182"/>
              <w:rPr>
                <w:color w:val="000000" w:themeColor="text1"/>
                <w14:textFill>
                  <w14:solidFill>
                    <w14:schemeClr w14:val="tx1"/>
                  </w14:solidFill>
                </w14:textFill>
              </w:rPr>
            </w:pPr>
            <w:r>
              <w:rPr>
                <w:rFonts w:hint="eastAsia" w:hAnsi="宋体"/>
                <w:color w:val="000000" w:themeColor="text1"/>
                <w:szCs w:val="18"/>
                <w14:textFill>
                  <w14:solidFill>
                    <w14:schemeClr w14:val="tx1"/>
                  </w14:solidFill>
                </w14:textFill>
              </w:rPr>
              <w:t>（4分）</w:t>
            </w:r>
          </w:p>
        </w:tc>
        <w:tc>
          <w:tcPr>
            <w:tcW w:w="4368" w:type="dxa"/>
            <w:shd w:val="clear" w:color="auto" w:fill="auto"/>
            <w:vAlign w:val="center"/>
          </w:tcPr>
          <w:p w14:paraId="46F65C19">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包装设备完善，运行正常，包装质量高得3 - 4分；</w:t>
            </w:r>
          </w:p>
          <w:p w14:paraId="743817CD">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设备基本满足需求得1-2分；</w:t>
            </w:r>
          </w:p>
          <w:p w14:paraId="26F602D1">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设备不足得 0分。</w:t>
            </w:r>
          </w:p>
        </w:tc>
        <w:tc>
          <w:tcPr>
            <w:tcW w:w="992" w:type="dxa"/>
          </w:tcPr>
          <w:p w14:paraId="46D6E2C5">
            <w:pPr>
              <w:pStyle w:val="182"/>
              <w:jc w:val="left"/>
              <w:rPr>
                <w:color w:val="000000" w:themeColor="text1"/>
                <w14:textFill>
                  <w14:solidFill>
                    <w14:schemeClr w14:val="tx1"/>
                  </w14:solidFill>
                </w14:textFill>
              </w:rPr>
            </w:pPr>
          </w:p>
        </w:tc>
        <w:tc>
          <w:tcPr>
            <w:tcW w:w="1831" w:type="dxa"/>
          </w:tcPr>
          <w:p w14:paraId="3CC6670C">
            <w:pPr>
              <w:pStyle w:val="182"/>
              <w:jc w:val="left"/>
              <w:rPr>
                <w:color w:val="000000" w:themeColor="text1"/>
                <w14:textFill>
                  <w14:solidFill>
                    <w14:schemeClr w14:val="tx1"/>
                  </w14:solidFill>
                </w14:textFill>
              </w:rPr>
            </w:pPr>
          </w:p>
        </w:tc>
      </w:tr>
      <w:tr w14:paraId="18E49F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5" w:type="dxa"/>
            <w:vMerge w:val="continue"/>
            <w:shd w:val="clear" w:color="auto" w:fill="auto"/>
            <w:vAlign w:val="center"/>
          </w:tcPr>
          <w:p w14:paraId="28805052">
            <w:pPr>
              <w:pStyle w:val="182"/>
              <w:rPr>
                <w:color w:val="000000" w:themeColor="text1"/>
                <w14:textFill>
                  <w14:solidFill>
                    <w14:schemeClr w14:val="tx1"/>
                  </w14:solidFill>
                </w14:textFill>
              </w:rPr>
            </w:pPr>
          </w:p>
        </w:tc>
        <w:tc>
          <w:tcPr>
            <w:tcW w:w="1258" w:type="dxa"/>
            <w:shd w:val="clear" w:color="auto" w:fill="auto"/>
            <w:vAlign w:val="center"/>
          </w:tcPr>
          <w:p w14:paraId="5D9618F4">
            <w:pPr>
              <w:pStyle w:val="182"/>
              <w:rPr>
                <w:rFonts w:hint="eastAsia" w:hAnsi="宋体"/>
                <w:color w:val="000000" w:themeColor="text1"/>
                <w:szCs w:val="18"/>
                <w14:textFill>
                  <w14:solidFill>
                    <w14:schemeClr w14:val="tx1"/>
                  </w14:solidFill>
                </w14:textFill>
              </w:rPr>
            </w:pPr>
            <w:r>
              <w:rPr>
                <w:rFonts w:hint="eastAsia" w:hAnsi="宋体"/>
                <w:color w:val="000000" w:themeColor="text1"/>
                <w:szCs w:val="18"/>
                <w14:textFill>
                  <w14:solidFill>
                    <w14:schemeClr w14:val="tx1"/>
                  </w14:solidFill>
                </w14:textFill>
              </w:rPr>
              <w:t>质检设备</w:t>
            </w:r>
          </w:p>
          <w:p w14:paraId="62482733">
            <w:pPr>
              <w:pStyle w:val="182"/>
              <w:rPr>
                <w:color w:val="000000" w:themeColor="text1"/>
                <w14:textFill>
                  <w14:solidFill>
                    <w14:schemeClr w14:val="tx1"/>
                  </w14:solidFill>
                </w14:textFill>
              </w:rPr>
            </w:pPr>
            <w:r>
              <w:rPr>
                <w:rFonts w:hint="eastAsia" w:hAnsi="宋体"/>
                <w:color w:val="000000" w:themeColor="text1"/>
                <w:szCs w:val="18"/>
                <w14:textFill>
                  <w14:solidFill>
                    <w14:schemeClr w14:val="tx1"/>
                  </w14:solidFill>
                </w14:textFill>
              </w:rPr>
              <w:t>（3分）</w:t>
            </w:r>
          </w:p>
        </w:tc>
        <w:tc>
          <w:tcPr>
            <w:tcW w:w="4368" w:type="dxa"/>
            <w:shd w:val="clear" w:color="auto" w:fill="auto"/>
            <w:vAlign w:val="center"/>
          </w:tcPr>
          <w:p w14:paraId="0514B236">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质检设备齐全，检测精度高得2-3分；</w:t>
            </w:r>
          </w:p>
          <w:p w14:paraId="06057D90">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设备基本满足需求得1分；</w:t>
            </w:r>
          </w:p>
          <w:p w14:paraId="1BAEBCC8">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设备不足得0分。</w:t>
            </w:r>
          </w:p>
        </w:tc>
        <w:tc>
          <w:tcPr>
            <w:tcW w:w="992" w:type="dxa"/>
          </w:tcPr>
          <w:p w14:paraId="198CF25D">
            <w:pPr>
              <w:pStyle w:val="182"/>
              <w:jc w:val="left"/>
              <w:rPr>
                <w:color w:val="000000" w:themeColor="text1"/>
                <w14:textFill>
                  <w14:solidFill>
                    <w14:schemeClr w14:val="tx1"/>
                  </w14:solidFill>
                </w14:textFill>
              </w:rPr>
            </w:pPr>
          </w:p>
        </w:tc>
        <w:tc>
          <w:tcPr>
            <w:tcW w:w="1831" w:type="dxa"/>
          </w:tcPr>
          <w:p w14:paraId="4F3AABFB">
            <w:pPr>
              <w:pStyle w:val="182"/>
              <w:jc w:val="left"/>
              <w:rPr>
                <w:color w:val="000000" w:themeColor="text1"/>
                <w14:textFill>
                  <w14:solidFill>
                    <w14:schemeClr w14:val="tx1"/>
                  </w14:solidFill>
                </w14:textFill>
              </w:rPr>
            </w:pPr>
          </w:p>
        </w:tc>
      </w:tr>
      <w:tr w14:paraId="452E63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5" w:type="dxa"/>
            <w:vMerge w:val="continue"/>
            <w:shd w:val="clear" w:color="auto" w:fill="auto"/>
            <w:vAlign w:val="center"/>
          </w:tcPr>
          <w:p w14:paraId="15DA84A7">
            <w:pPr>
              <w:pStyle w:val="182"/>
              <w:rPr>
                <w:color w:val="000000" w:themeColor="text1"/>
                <w14:textFill>
                  <w14:solidFill>
                    <w14:schemeClr w14:val="tx1"/>
                  </w14:solidFill>
                </w14:textFill>
              </w:rPr>
            </w:pPr>
          </w:p>
        </w:tc>
        <w:tc>
          <w:tcPr>
            <w:tcW w:w="1258" w:type="dxa"/>
            <w:shd w:val="clear" w:color="auto" w:fill="auto"/>
            <w:vAlign w:val="center"/>
          </w:tcPr>
          <w:p w14:paraId="7B1FC90A">
            <w:pPr>
              <w:pStyle w:val="182"/>
              <w:rPr>
                <w:rFonts w:hint="eastAsia" w:hAnsi="宋体"/>
                <w:color w:val="000000" w:themeColor="text1"/>
                <w:szCs w:val="18"/>
                <w14:textFill>
                  <w14:solidFill>
                    <w14:schemeClr w14:val="tx1"/>
                  </w14:solidFill>
                </w14:textFill>
              </w:rPr>
            </w:pPr>
            <w:r>
              <w:rPr>
                <w:rFonts w:hint="eastAsia" w:hAnsi="宋体"/>
                <w:color w:val="000000" w:themeColor="text1"/>
                <w:szCs w:val="18"/>
                <w14:textFill>
                  <w14:solidFill>
                    <w14:schemeClr w14:val="tx1"/>
                  </w14:solidFill>
                </w14:textFill>
              </w:rPr>
              <w:t>智能化设备应用</w:t>
            </w:r>
          </w:p>
          <w:p w14:paraId="0D7084B0">
            <w:pPr>
              <w:pStyle w:val="182"/>
              <w:rPr>
                <w:color w:val="000000" w:themeColor="text1"/>
                <w14:textFill>
                  <w14:solidFill>
                    <w14:schemeClr w14:val="tx1"/>
                  </w14:solidFill>
                </w14:textFill>
              </w:rPr>
            </w:pPr>
            <w:r>
              <w:rPr>
                <w:rFonts w:hint="eastAsia" w:hAnsi="宋体"/>
                <w:color w:val="000000" w:themeColor="text1"/>
                <w:szCs w:val="18"/>
                <w14:textFill>
                  <w14:solidFill>
                    <w14:schemeClr w14:val="tx1"/>
                  </w14:solidFill>
                </w14:textFill>
              </w:rPr>
              <w:t>（3分）</w:t>
            </w:r>
          </w:p>
        </w:tc>
        <w:tc>
          <w:tcPr>
            <w:tcW w:w="4368" w:type="dxa"/>
            <w:shd w:val="clear" w:color="auto" w:fill="auto"/>
            <w:vAlign w:val="center"/>
          </w:tcPr>
          <w:p w14:paraId="309F17C0">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引入物联网、大数据等智能化设备，实现高效管理得2-3分；</w:t>
            </w:r>
          </w:p>
          <w:p w14:paraId="625EE2FC">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部分应用得1分；</w:t>
            </w:r>
          </w:p>
          <w:p w14:paraId="6D36CD43">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未应用得0分。</w:t>
            </w:r>
          </w:p>
        </w:tc>
        <w:tc>
          <w:tcPr>
            <w:tcW w:w="992" w:type="dxa"/>
          </w:tcPr>
          <w:p w14:paraId="6A6D7CDF">
            <w:pPr>
              <w:pStyle w:val="182"/>
              <w:jc w:val="left"/>
              <w:rPr>
                <w:color w:val="000000" w:themeColor="text1"/>
                <w14:textFill>
                  <w14:solidFill>
                    <w14:schemeClr w14:val="tx1"/>
                  </w14:solidFill>
                </w14:textFill>
              </w:rPr>
            </w:pPr>
          </w:p>
        </w:tc>
        <w:tc>
          <w:tcPr>
            <w:tcW w:w="1831" w:type="dxa"/>
          </w:tcPr>
          <w:p w14:paraId="055C68D5">
            <w:pPr>
              <w:pStyle w:val="182"/>
              <w:jc w:val="left"/>
              <w:rPr>
                <w:color w:val="000000" w:themeColor="text1"/>
                <w14:textFill>
                  <w14:solidFill>
                    <w14:schemeClr w14:val="tx1"/>
                  </w14:solidFill>
                </w14:textFill>
              </w:rPr>
            </w:pPr>
          </w:p>
        </w:tc>
      </w:tr>
      <w:tr w14:paraId="09EF8D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5" w:type="dxa"/>
            <w:vMerge w:val="restart"/>
            <w:shd w:val="clear" w:color="auto" w:fill="auto"/>
            <w:vAlign w:val="center"/>
          </w:tcPr>
          <w:p w14:paraId="1FAB570D">
            <w:pPr>
              <w:pStyle w:val="182"/>
              <w:rPr>
                <w:color w:val="000000" w:themeColor="text1"/>
                <w14:textFill>
                  <w14:solidFill>
                    <w14:schemeClr w14:val="tx1"/>
                  </w14:solidFill>
                </w14:textFill>
              </w:rPr>
            </w:pPr>
            <w:r>
              <w:rPr>
                <w:rFonts w:hint="eastAsia"/>
                <w:color w:val="000000" w:themeColor="text1"/>
                <w14:textFill>
                  <w14:solidFill>
                    <w14:schemeClr w14:val="tx1"/>
                  </w14:solidFill>
                </w14:textFill>
              </w:rPr>
              <w:t>加工管理</w:t>
            </w:r>
          </w:p>
          <w:p w14:paraId="0B3760BF">
            <w:pPr>
              <w:pStyle w:val="182"/>
              <w:rPr>
                <w:color w:val="000000" w:themeColor="text1"/>
                <w14:textFill>
                  <w14:solidFill>
                    <w14:schemeClr w14:val="tx1"/>
                  </w14:solidFill>
                </w14:textFill>
              </w:rPr>
            </w:pPr>
            <w:r>
              <w:rPr>
                <w:rFonts w:hint="eastAsia"/>
                <w:color w:val="000000" w:themeColor="text1"/>
                <w14:textFill>
                  <w14:solidFill>
                    <w14:schemeClr w14:val="tx1"/>
                  </w14:solidFill>
                </w14:textFill>
              </w:rPr>
              <w:t>（25分）</w:t>
            </w:r>
          </w:p>
        </w:tc>
        <w:tc>
          <w:tcPr>
            <w:tcW w:w="1258" w:type="dxa"/>
            <w:shd w:val="clear" w:color="auto" w:fill="auto"/>
            <w:vAlign w:val="center"/>
          </w:tcPr>
          <w:p w14:paraId="66873CC0">
            <w:pPr>
              <w:pStyle w:val="182"/>
              <w:rPr>
                <w:rFonts w:hint="eastAsia" w:hAnsi="宋体"/>
                <w:color w:val="000000" w:themeColor="text1"/>
                <w:szCs w:val="18"/>
                <w14:textFill>
                  <w14:solidFill>
                    <w14:schemeClr w14:val="tx1"/>
                  </w14:solidFill>
                </w14:textFill>
              </w:rPr>
            </w:pPr>
            <w:r>
              <w:rPr>
                <w:rFonts w:hint="eastAsia" w:hAnsi="宋体"/>
                <w:color w:val="000000" w:themeColor="text1"/>
                <w:szCs w:val="18"/>
                <w14:textFill>
                  <w14:solidFill>
                    <w14:schemeClr w14:val="tx1"/>
                  </w14:solidFill>
                </w14:textFill>
              </w:rPr>
              <w:t>原料管理</w:t>
            </w:r>
          </w:p>
          <w:p w14:paraId="6D3288E2">
            <w:pPr>
              <w:pStyle w:val="182"/>
              <w:rPr>
                <w:color w:val="000000" w:themeColor="text1"/>
                <w14:textFill>
                  <w14:solidFill>
                    <w14:schemeClr w14:val="tx1"/>
                  </w14:solidFill>
                </w14:textFill>
              </w:rPr>
            </w:pPr>
            <w:r>
              <w:rPr>
                <w:rFonts w:hint="eastAsia" w:hAnsi="宋体"/>
                <w:color w:val="000000" w:themeColor="text1"/>
                <w:szCs w:val="18"/>
                <w14:textFill>
                  <w14:solidFill>
                    <w14:schemeClr w14:val="tx1"/>
                  </w14:solidFill>
                </w14:textFill>
              </w:rPr>
              <w:t>（4分）</w:t>
            </w:r>
          </w:p>
        </w:tc>
        <w:tc>
          <w:tcPr>
            <w:tcW w:w="4368" w:type="dxa"/>
            <w:shd w:val="clear" w:color="auto" w:fill="auto"/>
            <w:vAlign w:val="center"/>
          </w:tcPr>
          <w:p w14:paraId="46BA3EF6">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原料采购、储存、使用符合标准，记录完整得3-4分；</w:t>
            </w:r>
          </w:p>
          <w:p w14:paraId="720E3CC1">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部分符合得1-2分；</w:t>
            </w:r>
          </w:p>
          <w:p w14:paraId="273DACB4">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不符合得0分。</w:t>
            </w:r>
          </w:p>
        </w:tc>
        <w:tc>
          <w:tcPr>
            <w:tcW w:w="992" w:type="dxa"/>
          </w:tcPr>
          <w:p w14:paraId="04174126">
            <w:pPr>
              <w:pStyle w:val="182"/>
              <w:jc w:val="left"/>
              <w:rPr>
                <w:color w:val="000000" w:themeColor="text1"/>
                <w14:textFill>
                  <w14:solidFill>
                    <w14:schemeClr w14:val="tx1"/>
                  </w14:solidFill>
                </w14:textFill>
              </w:rPr>
            </w:pPr>
          </w:p>
        </w:tc>
        <w:tc>
          <w:tcPr>
            <w:tcW w:w="1831" w:type="dxa"/>
          </w:tcPr>
          <w:p w14:paraId="0B2AF46C">
            <w:pPr>
              <w:pStyle w:val="182"/>
              <w:jc w:val="left"/>
              <w:rPr>
                <w:color w:val="000000" w:themeColor="text1"/>
                <w14:textFill>
                  <w14:solidFill>
                    <w14:schemeClr w14:val="tx1"/>
                  </w14:solidFill>
                </w14:textFill>
              </w:rPr>
            </w:pPr>
          </w:p>
        </w:tc>
      </w:tr>
      <w:tr w14:paraId="49B9F7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5" w:type="dxa"/>
            <w:vMerge w:val="continue"/>
            <w:shd w:val="clear" w:color="auto" w:fill="auto"/>
            <w:vAlign w:val="center"/>
          </w:tcPr>
          <w:p w14:paraId="461DF9A2">
            <w:pPr>
              <w:pStyle w:val="182"/>
              <w:rPr>
                <w:color w:val="000000" w:themeColor="text1"/>
                <w14:textFill>
                  <w14:solidFill>
                    <w14:schemeClr w14:val="tx1"/>
                  </w14:solidFill>
                </w14:textFill>
              </w:rPr>
            </w:pPr>
          </w:p>
        </w:tc>
        <w:tc>
          <w:tcPr>
            <w:tcW w:w="1258" w:type="dxa"/>
            <w:shd w:val="clear" w:color="auto" w:fill="auto"/>
            <w:vAlign w:val="center"/>
          </w:tcPr>
          <w:p w14:paraId="06FE9180">
            <w:pPr>
              <w:pStyle w:val="182"/>
              <w:rPr>
                <w:rFonts w:hint="eastAsia" w:hAnsi="宋体"/>
                <w:color w:val="000000" w:themeColor="text1"/>
                <w:szCs w:val="18"/>
                <w14:textFill>
                  <w14:solidFill>
                    <w14:schemeClr w14:val="tx1"/>
                  </w14:solidFill>
                </w14:textFill>
              </w:rPr>
            </w:pPr>
            <w:r>
              <w:rPr>
                <w:rFonts w:hint="eastAsia" w:hAnsi="宋体"/>
                <w:color w:val="000000" w:themeColor="text1"/>
                <w:szCs w:val="18"/>
                <w14:textFill>
                  <w14:solidFill>
                    <w14:schemeClr w14:val="tx1"/>
                  </w14:solidFill>
                </w14:textFill>
              </w:rPr>
              <w:t>加工工艺控制</w:t>
            </w:r>
          </w:p>
          <w:p w14:paraId="6F208036">
            <w:pPr>
              <w:pStyle w:val="182"/>
              <w:rPr>
                <w:color w:val="000000" w:themeColor="text1"/>
                <w14:textFill>
                  <w14:solidFill>
                    <w14:schemeClr w14:val="tx1"/>
                  </w14:solidFill>
                </w14:textFill>
              </w:rPr>
            </w:pPr>
            <w:r>
              <w:rPr>
                <w:rFonts w:hint="eastAsia" w:hAnsi="宋体"/>
                <w:color w:val="000000" w:themeColor="text1"/>
                <w:szCs w:val="18"/>
                <w14:textFill>
                  <w14:solidFill>
                    <w14:schemeClr w14:val="tx1"/>
                  </w14:solidFill>
                </w14:textFill>
              </w:rPr>
              <w:t>（4分）</w:t>
            </w:r>
          </w:p>
        </w:tc>
        <w:tc>
          <w:tcPr>
            <w:tcW w:w="4368" w:type="dxa"/>
            <w:shd w:val="clear" w:color="auto" w:fill="auto"/>
            <w:vAlign w:val="center"/>
          </w:tcPr>
          <w:p w14:paraId="4CE397F8">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加工工艺科学合理，参数控制精准得3-4分；</w:t>
            </w:r>
          </w:p>
          <w:p w14:paraId="5249E4C7">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工艺基本合理得1-2分；</w:t>
            </w:r>
          </w:p>
          <w:p w14:paraId="77DA7E68">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工艺不合理得0分。</w:t>
            </w:r>
          </w:p>
        </w:tc>
        <w:tc>
          <w:tcPr>
            <w:tcW w:w="992" w:type="dxa"/>
          </w:tcPr>
          <w:p w14:paraId="14304D00">
            <w:pPr>
              <w:pStyle w:val="182"/>
              <w:jc w:val="left"/>
              <w:rPr>
                <w:color w:val="000000" w:themeColor="text1"/>
                <w14:textFill>
                  <w14:solidFill>
                    <w14:schemeClr w14:val="tx1"/>
                  </w14:solidFill>
                </w14:textFill>
              </w:rPr>
            </w:pPr>
          </w:p>
        </w:tc>
        <w:tc>
          <w:tcPr>
            <w:tcW w:w="1831" w:type="dxa"/>
          </w:tcPr>
          <w:p w14:paraId="1C06BE29">
            <w:pPr>
              <w:pStyle w:val="182"/>
              <w:jc w:val="left"/>
              <w:rPr>
                <w:color w:val="000000" w:themeColor="text1"/>
                <w14:textFill>
                  <w14:solidFill>
                    <w14:schemeClr w14:val="tx1"/>
                  </w14:solidFill>
                </w14:textFill>
              </w:rPr>
            </w:pPr>
          </w:p>
        </w:tc>
      </w:tr>
      <w:tr w14:paraId="72DDE4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5" w:type="dxa"/>
            <w:vMerge w:val="continue"/>
            <w:shd w:val="clear" w:color="auto" w:fill="auto"/>
            <w:vAlign w:val="center"/>
          </w:tcPr>
          <w:p w14:paraId="7E57A8DB">
            <w:pPr>
              <w:pStyle w:val="182"/>
              <w:rPr>
                <w:color w:val="000000" w:themeColor="text1"/>
                <w14:textFill>
                  <w14:solidFill>
                    <w14:schemeClr w14:val="tx1"/>
                  </w14:solidFill>
                </w14:textFill>
              </w:rPr>
            </w:pPr>
          </w:p>
        </w:tc>
        <w:tc>
          <w:tcPr>
            <w:tcW w:w="1258" w:type="dxa"/>
            <w:shd w:val="clear" w:color="auto" w:fill="auto"/>
            <w:vAlign w:val="center"/>
          </w:tcPr>
          <w:p w14:paraId="03F5D9D7">
            <w:pPr>
              <w:pStyle w:val="182"/>
              <w:rPr>
                <w:rFonts w:hint="eastAsia" w:hAnsi="宋体"/>
                <w:color w:val="000000" w:themeColor="text1"/>
                <w:szCs w:val="18"/>
                <w14:textFill>
                  <w14:solidFill>
                    <w14:schemeClr w14:val="tx1"/>
                  </w14:solidFill>
                </w14:textFill>
              </w:rPr>
            </w:pPr>
            <w:r>
              <w:rPr>
                <w:rFonts w:hint="eastAsia" w:hAnsi="宋体"/>
                <w:color w:val="000000" w:themeColor="text1"/>
                <w:szCs w:val="18"/>
                <w14:textFill>
                  <w14:solidFill>
                    <w14:schemeClr w14:val="tx1"/>
                  </w14:solidFill>
                </w14:textFill>
              </w:rPr>
              <w:t>卫生管理</w:t>
            </w:r>
          </w:p>
          <w:p w14:paraId="09B2BF63">
            <w:pPr>
              <w:pStyle w:val="182"/>
              <w:rPr>
                <w:color w:val="000000" w:themeColor="text1"/>
                <w14:textFill>
                  <w14:solidFill>
                    <w14:schemeClr w14:val="tx1"/>
                  </w14:solidFill>
                </w14:textFill>
              </w:rPr>
            </w:pPr>
            <w:r>
              <w:rPr>
                <w:rFonts w:hint="eastAsia" w:hAnsi="宋体"/>
                <w:color w:val="000000" w:themeColor="text1"/>
                <w:szCs w:val="18"/>
                <w14:textFill>
                  <w14:solidFill>
                    <w14:schemeClr w14:val="tx1"/>
                  </w14:solidFill>
                </w14:textFill>
              </w:rPr>
              <w:t>（4分）</w:t>
            </w:r>
          </w:p>
        </w:tc>
        <w:tc>
          <w:tcPr>
            <w:tcW w:w="4368" w:type="dxa"/>
            <w:shd w:val="clear" w:color="auto" w:fill="auto"/>
            <w:vAlign w:val="center"/>
          </w:tcPr>
          <w:p w14:paraId="2964E7DF">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车间卫生达标，设备清洁，员工操作规范得3-4分；</w:t>
            </w:r>
          </w:p>
          <w:p w14:paraId="1F20249D">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部分符合得1-2分；</w:t>
            </w:r>
          </w:p>
          <w:p w14:paraId="2F296344">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不符合得0分。</w:t>
            </w:r>
          </w:p>
        </w:tc>
        <w:tc>
          <w:tcPr>
            <w:tcW w:w="992" w:type="dxa"/>
          </w:tcPr>
          <w:p w14:paraId="61D20570">
            <w:pPr>
              <w:pStyle w:val="182"/>
              <w:jc w:val="left"/>
              <w:rPr>
                <w:color w:val="000000" w:themeColor="text1"/>
                <w14:textFill>
                  <w14:solidFill>
                    <w14:schemeClr w14:val="tx1"/>
                  </w14:solidFill>
                </w14:textFill>
              </w:rPr>
            </w:pPr>
          </w:p>
        </w:tc>
        <w:tc>
          <w:tcPr>
            <w:tcW w:w="1831" w:type="dxa"/>
          </w:tcPr>
          <w:p w14:paraId="51277C71">
            <w:pPr>
              <w:pStyle w:val="182"/>
              <w:jc w:val="left"/>
              <w:rPr>
                <w:color w:val="000000" w:themeColor="text1"/>
                <w14:textFill>
                  <w14:solidFill>
                    <w14:schemeClr w14:val="tx1"/>
                  </w14:solidFill>
                </w14:textFill>
              </w:rPr>
            </w:pPr>
          </w:p>
        </w:tc>
      </w:tr>
      <w:tr w14:paraId="58CA7B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5" w:type="dxa"/>
            <w:vMerge w:val="continue"/>
            <w:shd w:val="clear" w:color="auto" w:fill="auto"/>
            <w:vAlign w:val="center"/>
          </w:tcPr>
          <w:p w14:paraId="458D25DC">
            <w:pPr>
              <w:pStyle w:val="182"/>
              <w:rPr>
                <w:color w:val="000000" w:themeColor="text1"/>
                <w14:textFill>
                  <w14:solidFill>
                    <w14:schemeClr w14:val="tx1"/>
                  </w14:solidFill>
                </w14:textFill>
              </w:rPr>
            </w:pPr>
          </w:p>
        </w:tc>
        <w:tc>
          <w:tcPr>
            <w:tcW w:w="1258" w:type="dxa"/>
            <w:shd w:val="clear" w:color="auto" w:fill="auto"/>
            <w:vAlign w:val="center"/>
          </w:tcPr>
          <w:p w14:paraId="52F23D5D">
            <w:pPr>
              <w:pStyle w:val="182"/>
              <w:rPr>
                <w:rFonts w:hint="eastAsia" w:hAnsi="宋体"/>
                <w:color w:val="000000" w:themeColor="text1"/>
                <w:szCs w:val="18"/>
                <w14:textFill>
                  <w14:solidFill>
                    <w14:schemeClr w14:val="tx1"/>
                  </w14:solidFill>
                </w14:textFill>
              </w:rPr>
            </w:pPr>
            <w:r>
              <w:rPr>
                <w:rFonts w:hint="eastAsia" w:hAnsi="宋体"/>
                <w:color w:val="000000" w:themeColor="text1"/>
                <w:szCs w:val="18"/>
                <w14:textFill>
                  <w14:solidFill>
                    <w14:schemeClr w14:val="tx1"/>
                  </w14:solidFill>
                </w14:textFill>
              </w:rPr>
              <w:t>质量管理</w:t>
            </w:r>
          </w:p>
          <w:p w14:paraId="32290DD3">
            <w:pPr>
              <w:pStyle w:val="182"/>
              <w:rPr>
                <w:color w:val="000000" w:themeColor="text1"/>
                <w14:textFill>
                  <w14:solidFill>
                    <w14:schemeClr w14:val="tx1"/>
                  </w14:solidFill>
                </w14:textFill>
              </w:rPr>
            </w:pPr>
            <w:r>
              <w:rPr>
                <w:rFonts w:hint="eastAsia" w:hAnsi="宋体"/>
                <w:color w:val="000000" w:themeColor="text1"/>
                <w:szCs w:val="18"/>
                <w14:textFill>
                  <w14:solidFill>
                    <w14:schemeClr w14:val="tx1"/>
                  </w14:solidFill>
                </w14:textFill>
              </w:rPr>
              <w:t>（4分）</w:t>
            </w:r>
          </w:p>
        </w:tc>
        <w:tc>
          <w:tcPr>
            <w:tcW w:w="4368" w:type="dxa"/>
            <w:shd w:val="clear" w:color="auto" w:fill="auto"/>
            <w:vAlign w:val="center"/>
          </w:tcPr>
          <w:p w14:paraId="6C0426D9">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质量检测体系完善，成品合格率高得3-4分；</w:t>
            </w:r>
          </w:p>
          <w:p w14:paraId="765352CE">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检测体系基本完善得1-2分；</w:t>
            </w:r>
          </w:p>
          <w:p w14:paraId="759CB254">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检测体系不完善得0分。</w:t>
            </w:r>
          </w:p>
        </w:tc>
        <w:tc>
          <w:tcPr>
            <w:tcW w:w="992" w:type="dxa"/>
          </w:tcPr>
          <w:p w14:paraId="17722659">
            <w:pPr>
              <w:pStyle w:val="182"/>
              <w:jc w:val="left"/>
              <w:rPr>
                <w:color w:val="000000" w:themeColor="text1"/>
                <w14:textFill>
                  <w14:solidFill>
                    <w14:schemeClr w14:val="tx1"/>
                  </w14:solidFill>
                </w14:textFill>
              </w:rPr>
            </w:pPr>
          </w:p>
        </w:tc>
        <w:tc>
          <w:tcPr>
            <w:tcW w:w="1831" w:type="dxa"/>
          </w:tcPr>
          <w:p w14:paraId="1135D21E">
            <w:pPr>
              <w:pStyle w:val="182"/>
              <w:jc w:val="left"/>
              <w:rPr>
                <w:color w:val="000000" w:themeColor="text1"/>
                <w14:textFill>
                  <w14:solidFill>
                    <w14:schemeClr w14:val="tx1"/>
                  </w14:solidFill>
                </w14:textFill>
              </w:rPr>
            </w:pPr>
          </w:p>
        </w:tc>
      </w:tr>
      <w:tr w14:paraId="206FE8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5" w:type="dxa"/>
            <w:vMerge w:val="continue"/>
            <w:shd w:val="clear" w:color="auto" w:fill="auto"/>
            <w:vAlign w:val="center"/>
          </w:tcPr>
          <w:p w14:paraId="6AF861B5">
            <w:pPr>
              <w:pStyle w:val="182"/>
              <w:rPr>
                <w:color w:val="000000" w:themeColor="text1"/>
                <w14:textFill>
                  <w14:solidFill>
                    <w14:schemeClr w14:val="tx1"/>
                  </w14:solidFill>
                </w14:textFill>
              </w:rPr>
            </w:pPr>
          </w:p>
        </w:tc>
        <w:tc>
          <w:tcPr>
            <w:tcW w:w="1258" w:type="dxa"/>
            <w:shd w:val="clear" w:color="auto" w:fill="auto"/>
            <w:vAlign w:val="center"/>
          </w:tcPr>
          <w:p w14:paraId="55C95B3B">
            <w:pPr>
              <w:pStyle w:val="182"/>
              <w:rPr>
                <w:rFonts w:hint="eastAsia" w:hAnsi="宋体"/>
                <w:color w:val="000000" w:themeColor="text1"/>
                <w:szCs w:val="18"/>
                <w14:textFill>
                  <w14:solidFill>
                    <w14:schemeClr w14:val="tx1"/>
                  </w14:solidFill>
                </w14:textFill>
              </w:rPr>
            </w:pPr>
            <w:r>
              <w:rPr>
                <w:rFonts w:hint="eastAsia" w:hAnsi="宋体"/>
                <w:color w:val="000000" w:themeColor="text1"/>
                <w:szCs w:val="18"/>
                <w14:textFill>
                  <w14:solidFill>
                    <w14:schemeClr w14:val="tx1"/>
                  </w14:solidFill>
                </w14:textFill>
              </w:rPr>
              <w:t>记录管理</w:t>
            </w:r>
          </w:p>
          <w:p w14:paraId="28BDD7A7">
            <w:pPr>
              <w:pStyle w:val="182"/>
              <w:rPr>
                <w:color w:val="000000" w:themeColor="text1"/>
                <w14:textFill>
                  <w14:solidFill>
                    <w14:schemeClr w14:val="tx1"/>
                  </w14:solidFill>
                </w14:textFill>
              </w:rPr>
            </w:pPr>
            <w:r>
              <w:rPr>
                <w:rFonts w:hint="eastAsia" w:hAnsi="宋体"/>
                <w:color w:val="000000" w:themeColor="text1"/>
                <w:szCs w:val="18"/>
                <w14:textFill>
                  <w14:solidFill>
                    <w14:schemeClr w14:val="tx1"/>
                  </w14:solidFill>
                </w14:textFill>
              </w:rPr>
              <w:t>（3分）</w:t>
            </w:r>
          </w:p>
        </w:tc>
        <w:tc>
          <w:tcPr>
            <w:tcW w:w="4368" w:type="dxa"/>
            <w:shd w:val="clear" w:color="auto" w:fill="auto"/>
            <w:vAlign w:val="center"/>
          </w:tcPr>
          <w:p w14:paraId="1606E6C1">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加工过程记录完整、准确、及时得2-3分；</w:t>
            </w:r>
          </w:p>
          <w:p w14:paraId="21CF3FB9">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记录存在部分缺失得1分；无记录得0分</w:t>
            </w:r>
          </w:p>
        </w:tc>
        <w:tc>
          <w:tcPr>
            <w:tcW w:w="992" w:type="dxa"/>
          </w:tcPr>
          <w:p w14:paraId="26CC6C3B">
            <w:pPr>
              <w:pStyle w:val="182"/>
              <w:jc w:val="left"/>
              <w:rPr>
                <w:color w:val="000000" w:themeColor="text1"/>
                <w14:textFill>
                  <w14:solidFill>
                    <w14:schemeClr w14:val="tx1"/>
                  </w14:solidFill>
                </w14:textFill>
              </w:rPr>
            </w:pPr>
          </w:p>
        </w:tc>
        <w:tc>
          <w:tcPr>
            <w:tcW w:w="1831" w:type="dxa"/>
          </w:tcPr>
          <w:p w14:paraId="0B60ECFA">
            <w:pPr>
              <w:pStyle w:val="182"/>
              <w:jc w:val="left"/>
              <w:rPr>
                <w:color w:val="000000" w:themeColor="text1"/>
                <w14:textFill>
                  <w14:solidFill>
                    <w14:schemeClr w14:val="tx1"/>
                  </w14:solidFill>
                </w14:textFill>
              </w:rPr>
            </w:pPr>
          </w:p>
        </w:tc>
      </w:tr>
      <w:tr w14:paraId="1A3FDD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5" w:type="dxa"/>
            <w:vMerge w:val="continue"/>
            <w:shd w:val="clear" w:color="auto" w:fill="auto"/>
            <w:vAlign w:val="center"/>
          </w:tcPr>
          <w:p w14:paraId="003BDF47">
            <w:pPr>
              <w:pStyle w:val="182"/>
              <w:rPr>
                <w:color w:val="000000" w:themeColor="text1"/>
                <w14:textFill>
                  <w14:solidFill>
                    <w14:schemeClr w14:val="tx1"/>
                  </w14:solidFill>
                </w14:textFill>
              </w:rPr>
            </w:pPr>
          </w:p>
        </w:tc>
        <w:tc>
          <w:tcPr>
            <w:tcW w:w="1258" w:type="dxa"/>
            <w:shd w:val="clear" w:color="auto" w:fill="auto"/>
            <w:vAlign w:val="center"/>
          </w:tcPr>
          <w:p w14:paraId="13F14D29">
            <w:pPr>
              <w:pStyle w:val="182"/>
              <w:rPr>
                <w:rFonts w:hint="eastAsia" w:hAnsi="宋体"/>
                <w:color w:val="000000" w:themeColor="text1"/>
                <w:szCs w:val="18"/>
                <w14:textFill>
                  <w14:solidFill>
                    <w14:schemeClr w14:val="tx1"/>
                  </w14:solidFill>
                </w14:textFill>
              </w:rPr>
            </w:pPr>
            <w:r>
              <w:rPr>
                <w:rFonts w:hint="eastAsia" w:hAnsi="宋体"/>
                <w:color w:val="000000" w:themeColor="text1"/>
                <w:szCs w:val="18"/>
                <w14:textFill>
                  <w14:solidFill>
                    <w14:schemeClr w14:val="tx1"/>
                  </w14:solidFill>
                </w14:textFill>
              </w:rPr>
              <w:t>设备维护</w:t>
            </w:r>
          </w:p>
          <w:p w14:paraId="2B29D160">
            <w:pPr>
              <w:pStyle w:val="182"/>
              <w:rPr>
                <w:color w:val="000000" w:themeColor="text1"/>
                <w14:textFill>
                  <w14:solidFill>
                    <w14:schemeClr w14:val="tx1"/>
                  </w14:solidFill>
                </w14:textFill>
              </w:rPr>
            </w:pPr>
            <w:r>
              <w:rPr>
                <w:rFonts w:hint="eastAsia" w:hAnsi="宋体"/>
                <w:color w:val="000000" w:themeColor="text1"/>
                <w:szCs w:val="18"/>
                <w14:textFill>
                  <w14:solidFill>
                    <w14:schemeClr w14:val="tx1"/>
                  </w14:solidFill>
                </w14:textFill>
              </w:rPr>
              <w:t>（3分）</w:t>
            </w:r>
          </w:p>
        </w:tc>
        <w:tc>
          <w:tcPr>
            <w:tcW w:w="4368" w:type="dxa"/>
            <w:shd w:val="clear" w:color="auto" w:fill="auto"/>
            <w:vAlign w:val="center"/>
          </w:tcPr>
          <w:p w14:paraId="7E52098C">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设备维护及时，运行状态良好得2-3分；</w:t>
            </w:r>
          </w:p>
          <w:p w14:paraId="2C4542B0">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维护不及时得1分；</w:t>
            </w:r>
          </w:p>
          <w:p w14:paraId="781C131B">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无维护得0分。</w:t>
            </w:r>
          </w:p>
        </w:tc>
        <w:tc>
          <w:tcPr>
            <w:tcW w:w="992" w:type="dxa"/>
          </w:tcPr>
          <w:p w14:paraId="6815E359">
            <w:pPr>
              <w:pStyle w:val="182"/>
              <w:jc w:val="left"/>
              <w:rPr>
                <w:color w:val="000000" w:themeColor="text1"/>
                <w14:textFill>
                  <w14:solidFill>
                    <w14:schemeClr w14:val="tx1"/>
                  </w14:solidFill>
                </w14:textFill>
              </w:rPr>
            </w:pPr>
          </w:p>
        </w:tc>
        <w:tc>
          <w:tcPr>
            <w:tcW w:w="1831" w:type="dxa"/>
          </w:tcPr>
          <w:p w14:paraId="2ABFC6F1">
            <w:pPr>
              <w:pStyle w:val="182"/>
              <w:jc w:val="left"/>
              <w:rPr>
                <w:color w:val="000000" w:themeColor="text1"/>
                <w14:textFill>
                  <w14:solidFill>
                    <w14:schemeClr w14:val="tx1"/>
                  </w14:solidFill>
                </w14:textFill>
              </w:rPr>
            </w:pPr>
          </w:p>
        </w:tc>
      </w:tr>
      <w:tr w14:paraId="741BEA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5" w:type="dxa"/>
            <w:vMerge w:val="continue"/>
            <w:shd w:val="clear" w:color="auto" w:fill="auto"/>
            <w:vAlign w:val="center"/>
          </w:tcPr>
          <w:p w14:paraId="1F2DAC10">
            <w:pPr>
              <w:pStyle w:val="182"/>
              <w:rPr>
                <w:color w:val="000000" w:themeColor="text1"/>
                <w14:textFill>
                  <w14:solidFill>
                    <w14:schemeClr w14:val="tx1"/>
                  </w14:solidFill>
                </w14:textFill>
              </w:rPr>
            </w:pPr>
          </w:p>
        </w:tc>
        <w:tc>
          <w:tcPr>
            <w:tcW w:w="1258" w:type="dxa"/>
            <w:shd w:val="clear" w:color="auto" w:fill="auto"/>
            <w:vAlign w:val="center"/>
          </w:tcPr>
          <w:p w14:paraId="362EB56F">
            <w:pPr>
              <w:pStyle w:val="182"/>
              <w:rPr>
                <w:rFonts w:hint="eastAsia" w:hAnsi="宋体"/>
                <w:color w:val="000000" w:themeColor="text1"/>
                <w:szCs w:val="18"/>
                <w14:textFill>
                  <w14:solidFill>
                    <w14:schemeClr w14:val="tx1"/>
                  </w14:solidFill>
                </w14:textFill>
              </w:rPr>
            </w:pPr>
            <w:r>
              <w:rPr>
                <w:rFonts w:hint="eastAsia" w:hAnsi="宋体"/>
                <w:color w:val="000000" w:themeColor="text1"/>
                <w:szCs w:val="18"/>
                <w14:textFill>
                  <w14:solidFill>
                    <w14:schemeClr w14:val="tx1"/>
                  </w14:solidFill>
                </w14:textFill>
              </w:rPr>
              <w:t>应急处理能力</w:t>
            </w:r>
          </w:p>
          <w:p w14:paraId="38F33213">
            <w:pPr>
              <w:pStyle w:val="182"/>
              <w:rPr>
                <w:color w:val="000000" w:themeColor="text1"/>
                <w14:textFill>
                  <w14:solidFill>
                    <w14:schemeClr w14:val="tx1"/>
                  </w14:solidFill>
                </w14:textFill>
              </w:rPr>
            </w:pPr>
            <w:r>
              <w:rPr>
                <w:rFonts w:hint="eastAsia" w:hAnsi="宋体"/>
                <w:color w:val="000000" w:themeColor="text1"/>
                <w:szCs w:val="18"/>
                <w14:textFill>
                  <w14:solidFill>
                    <w14:schemeClr w14:val="tx1"/>
                  </w14:solidFill>
                </w14:textFill>
              </w:rPr>
              <w:t>（3分）</w:t>
            </w:r>
          </w:p>
        </w:tc>
        <w:tc>
          <w:tcPr>
            <w:tcW w:w="4368" w:type="dxa"/>
            <w:shd w:val="clear" w:color="auto" w:fill="auto"/>
            <w:vAlign w:val="center"/>
          </w:tcPr>
          <w:p w14:paraId="64D4D911">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制定完善的应急预案，应急处理及时有效得2-3分；</w:t>
            </w:r>
          </w:p>
          <w:p w14:paraId="54985D08">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应急预案不完善得1分；</w:t>
            </w:r>
          </w:p>
          <w:p w14:paraId="7435DF68">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无应急预案得0分。</w:t>
            </w:r>
          </w:p>
        </w:tc>
        <w:tc>
          <w:tcPr>
            <w:tcW w:w="992" w:type="dxa"/>
          </w:tcPr>
          <w:p w14:paraId="51C8A160">
            <w:pPr>
              <w:pStyle w:val="182"/>
              <w:jc w:val="left"/>
              <w:rPr>
                <w:color w:val="000000" w:themeColor="text1"/>
                <w14:textFill>
                  <w14:solidFill>
                    <w14:schemeClr w14:val="tx1"/>
                  </w14:solidFill>
                </w14:textFill>
              </w:rPr>
            </w:pPr>
          </w:p>
        </w:tc>
        <w:tc>
          <w:tcPr>
            <w:tcW w:w="1831" w:type="dxa"/>
          </w:tcPr>
          <w:p w14:paraId="18E3BED0">
            <w:pPr>
              <w:pStyle w:val="182"/>
              <w:jc w:val="left"/>
              <w:rPr>
                <w:color w:val="000000" w:themeColor="text1"/>
                <w14:textFill>
                  <w14:solidFill>
                    <w14:schemeClr w14:val="tx1"/>
                  </w14:solidFill>
                </w14:textFill>
              </w:rPr>
            </w:pPr>
          </w:p>
        </w:tc>
      </w:tr>
      <w:tr w14:paraId="63B7D3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5" w:type="dxa"/>
            <w:vMerge w:val="restart"/>
            <w:shd w:val="clear" w:color="auto" w:fill="auto"/>
            <w:vAlign w:val="center"/>
          </w:tcPr>
          <w:p w14:paraId="6DFA991F">
            <w:pPr>
              <w:pStyle w:val="182"/>
              <w:rPr>
                <w:color w:val="000000" w:themeColor="text1"/>
                <w14:textFill>
                  <w14:solidFill>
                    <w14:schemeClr w14:val="tx1"/>
                  </w14:solidFill>
                </w14:textFill>
              </w:rPr>
            </w:pPr>
            <w:r>
              <w:rPr>
                <w:rFonts w:hint="eastAsia"/>
                <w:color w:val="000000" w:themeColor="text1"/>
                <w14:textFill>
                  <w14:solidFill>
                    <w14:schemeClr w14:val="tx1"/>
                  </w14:solidFill>
                </w14:textFill>
              </w:rPr>
              <w:t>卫生与安全</w:t>
            </w:r>
          </w:p>
          <w:p w14:paraId="41D1220A">
            <w:pPr>
              <w:pStyle w:val="182"/>
              <w:rPr>
                <w:color w:val="000000" w:themeColor="text1"/>
                <w14:textFill>
                  <w14:solidFill>
                    <w14:schemeClr w14:val="tx1"/>
                  </w14:solidFill>
                </w14:textFill>
              </w:rPr>
            </w:pPr>
            <w:r>
              <w:rPr>
                <w:rFonts w:hint="eastAsia"/>
                <w:color w:val="000000" w:themeColor="text1"/>
                <w14:textFill>
                  <w14:solidFill>
                    <w14:schemeClr w14:val="tx1"/>
                  </w14:solidFill>
                </w14:textFill>
              </w:rPr>
              <w:t>（10分）</w:t>
            </w:r>
          </w:p>
        </w:tc>
        <w:tc>
          <w:tcPr>
            <w:tcW w:w="1258" w:type="dxa"/>
            <w:shd w:val="clear" w:color="auto" w:fill="auto"/>
            <w:vAlign w:val="center"/>
          </w:tcPr>
          <w:p w14:paraId="0F13A324">
            <w:pPr>
              <w:pStyle w:val="182"/>
              <w:rPr>
                <w:rFonts w:hint="eastAsia" w:hAnsi="宋体"/>
                <w:color w:val="000000" w:themeColor="text1"/>
                <w:szCs w:val="18"/>
                <w14:textFill>
                  <w14:solidFill>
                    <w14:schemeClr w14:val="tx1"/>
                  </w14:solidFill>
                </w14:textFill>
              </w:rPr>
            </w:pPr>
            <w:r>
              <w:rPr>
                <w:rFonts w:hint="eastAsia" w:hAnsi="宋体"/>
                <w:color w:val="000000" w:themeColor="text1"/>
                <w:szCs w:val="18"/>
                <w14:textFill>
                  <w14:solidFill>
                    <w14:schemeClr w14:val="tx1"/>
                  </w14:solidFill>
                </w14:textFill>
              </w:rPr>
              <w:t>卫生标准执行</w:t>
            </w:r>
          </w:p>
          <w:p w14:paraId="7F6656D2">
            <w:pPr>
              <w:pStyle w:val="182"/>
              <w:rPr>
                <w:color w:val="000000" w:themeColor="text1"/>
                <w14:textFill>
                  <w14:solidFill>
                    <w14:schemeClr w14:val="tx1"/>
                  </w14:solidFill>
                </w14:textFill>
              </w:rPr>
            </w:pPr>
            <w:r>
              <w:rPr>
                <w:rFonts w:hint="eastAsia" w:hAnsi="宋体"/>
                <w:color w:val="000000" w:themeColor="text1"/>
                <w:szCs w:val="18"/>
                <w14:textFill>
                  <w14:solidFill>
                    <w14:schemeClr w14:val="tx1"/>
                  </w14:solidFill>
                </w14:textFill>
              </w:rPr>
              <w:t>（5分）</w:t>
            </w:r>
          </w:p>
        </w:tc>
        <w:tc>
          <w:tcPr>
            <w:tcW w:w="4368" w:type="dxa"/>
            <w:shd w:val="clear" w:color="auto" w:fill="auto"/>
            <w:vAlign w:val="center"/>
          </w:tcPr>
          <w:p w14:paraId="141D9FB7">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严格执行食品加工卫生标准，车间卫生达标得4-5分；</w:t>
            </w:r>
          </w:p>
          <w:p w14:paraId="4F84F8D6">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部分符合得2-3分；</w:t>
            </w:r>
          </w:p>
          <w:p w14:paraId="3B4AFCEA">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不符合得0-1分。</w:t>
            </w:r>
          </w:p>
        </w:tc>
        <w:tc>
          <w:tcPr>
            <w:tcW w:w="992" w:type="dxa"/>
          </w:tcPr>
          <w:p w14:paraId="46D56850">
            <w:pPr>
              <w:pStyle w:val="182"/>
              <w:jc w:val="left"/>
              <w:rPr>
                <w:color w:val="000000" w:themeColor="text1"/>
                <w14:textFill>
                  <w14:solidFill>
                    <w14:schemeClr w14:val="tx1"/>
                  </w14:solidFill>
                </w14:textFill>
              </w:rPr>
            </w:pPr>
          </w:p>
        </w:tc>
        <w:tc>
          <w:tcPr>
            <w:tcW w:w="1831" w:type="dxa"/>
          </w:tcPr>
          <w:p w14:paraId="040F8D99">
            <w:pPr>
              <w:pStyle w:val="182"/>
              <w:jc w:val="left"/>
              <w:rPr>
                <w:color w:val="000000" w:themeColor="text1"/>
                <w14:textFill>
                  <w14:solidFill>
                    <w14:schemeClr w14:val="tx1"/>
                  </w14:solidFill>
                </w14:textFill>
              </w:rPr>
            </w:pPr>
          </w:p>
        </w:tc>
      </w:tr>
      <w:tr w14:paraId="7C4C0C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5" w:type="dxa"/>
            <w:vMerge w:val="continue"/>
            <w:shd w:val="clear" w:color="auto" w:fill="auto"/>
            <w:vAlign w:val="center"/>
          </w:tcPr>
          <w:p w14:paraId="1E384E81">
            <w:pPr>
              <w:pStyle w:val="182"/>
              <w:rPr>
                <w:color w:val="000000" w:themeColor="text1"/>
                <w14:textFill>
                  <w14:solidFill>
                    <w14:schemeClr w14:val="tx1"/>
                  </w14:solidFill>
                </w14:textFill>
              </w:rPr>
            </w:pPr>
          </w:p>
        </w:tc>
        <w:tc>
          <w:tcPr>
            <w:tcW w:w="1258" w:type="dxa"/>
            <w:shd w:val="clear" w:color="auto" w:fill="auto"/>
            <w:vAlign w:val="center"/>
          </w:tcPr>
          <w:p w14:paraId="71286F45">
            <w:pPr>
              <w:pStyle w:val="182"/>
              <w:rPr>
                <w:rFonts w:hint="eastAsia" w:hAnsi="宋体"/>
                <w:color w:val="000000" w:themeColor="text1"/>
                <w:szCs w:val="18"/>
                <w14:textFill>
                  <w14:solidFill>
                    <w14:schemeClr w14:val="tx1"/>
                  </w14:solidFill>
                </w14:textFill>
              </w:rPr>
            </w:pPr>
            <w:r>
              <w:rPr>
                <w:rFonts w:hint="eastAsia" w:hAnsi="宋体"/>
                <w:color w:val="000000" w:themeColor="text1"/>
                <w:szCs w:val="18"/>
                <w14:textFill>
                  <w14:solidFill>
                    <w14:schemeClr w14:val="tx1"/>
                  </w14:solidFill>
                </w14:textFill>
              </w:rPr>
              <w:t>安全管理</w:t>
            </w:r>
          </w:p>
          <w:p w14:paraId="3741A40D">
            <w:pPr>
              <w:pStyle w:val="182"/>
              <w:rPr>
                <w:color w:val="000000" w:themeColor="text1"/>
                <w14:textFill>
                  <w14:solidFill>
                    <w14:schemeClr w14:val="tx1"/>
                  </w14:solidFill>
                </w14:textFill>
              </w:rPr>
            </w:pPr>
            <w:r>
              <w:rPr>
                <w:rFonts w:hint="eastAsia" w:hAnsi="宋体"/>
                <w:color w:val="000000" w:themeColor="text1"/>
                <w:szCs w:val="18"/>
                <w14:textFill>
                  <w14:solidFill>
                    <w14:schemeClr w14:val="tx1"/>
                  </w14:solidFill>
                </w14:textFill>
              </w:rPr>
              <w:t>（5分）</w:t>
            </w:r>
          </w:p>
        </w:tc>
        <w:tc>
          <w:tcPr>
            <w:tcW w:w="4368" w:type="dxa"/>
            <w:shd w:val="clear" w:color="auto" w:fill="auto"/>
            <w:vAlign w:val="center"/>
          </w:tcPr>
          <w:p w14:paraId="6C3F5578">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安全管理制度完善，操作规范，无安全事故得4-5分；</w:t>
            </w:r>
          </w:p>
          <w:p w14:paraId="54BED920">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部分符合得2-3分；</w:t>
            </w:r>
          </w:p>
          <w:p w14:paraId="389C7645">
            <w:pPr>
              <w:pStyle w:val="18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不符合得 0-1分。</w:t>
            </w:r>
          </w:p>
        </w:tc>
        <w:tc>
          <w:tcPr>
            <w:tcW w:w="992" w:type="dxa"/>
          </w:tcPr>
          <w:p w14:paraId="65720025">
            <w:pPr>
              <w:pStyle w:val="182"/>
              <w:jc w:val="left"/>
              <w:rPr>
                <w:color w:val="000000" w:themeColor="text1"/>
                <w14:textFill>
                  <w14:solidFill>
                    <w14:schemeClr w14:val="tx1"/>
                  </w14:solidFill>
                </w14:textFill>
              </w:rPr>
            </w:pPr>
          </w:p>
        </w:tc>
        <w:tc>
          <w:tcPr>
            <w:tcW w:w="1831" w:type="dxa"/>
          </w:tcPr>
          <w:p w14:paraId="617C656E">
            <w:pPr>
              <w:pStyle w:val="182"/>
              <w:jc w:val="left"/>
              <w:rPr>
                <w:color w:val="000000" w:themeColor="text1"/>
                <w14:textFill>
                  <w14:solidFill>
                    <w14:schemeClr w14:val="tx1"/>
                  </w14:solidFill>
                </w14:textFill>
              </w:rPr>
            </w:pPr>
          </w:p>
        </w:tc>
      </w:tr>
    </w:tbl>
    <w:p w14:paraId="0C8B0E31">
      <w:pPr>
        <w:pStyle w:val="88"/>
        <w:spacing w:before="120" w:after="120"/>
      </w:pPr>
      <w:bookmarkStart w:id="85" w:name="_Toc200652330"/>
      <w:r>
        <w:rPr>
          <w:rFonts w:hint="eastAsia"/>
        </w:rPr>
        <w:t>兴隆咖啡加工基地评价结论表</w:t>
      </w:r>
      <w:bookmarkEnd w:id="85"/>
    </w:p>
    <w:p w14:paraId="4DAC167D">
      <w:pPr>
        <w:pStyle w:val="38"/>
        <w:ind w:firstLine="420"/>
      </w:pPr>
      <w:r>
        <w:rPr>
          <w:rFonts w:hint="eastAsia"/>
        </w:rPr>
        <w:t>表A.2规定了兴隆咖啡加工基地评价结论表的内容。</w:t>
      </w:r>
    </w:p>
    <w:p w14:paraId="5DE78516">
      <w:pPr>
        <w:pStyle w:val="87"/>
      </w:pPr>
      <w:r>
        <w:rPr>
          <w:rFonts w:hint="eastAsia"/>
        </w:rPr>
        <w:t>兴隆咖啡加工基地评价结论表</w:t>
      </w:r>
    </w:p>
    <w:tbl>
      <w:tblPr>
        <w:tblStyle w:val="29"/>
        <w:tblW w:w="967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418"/>
        <w:gridCol w:w="2417"/>
        <w:gridCol w:w="2418"/>
        <w:gridCol w:w="2417"/>
      </w:tblGrid>
      <w:tr w14:paraId="0525E5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72" w:hRule="atLeast"/>
          <w:tblHeader/>
          <w:jc w:val="center"/>
        </w:trPr>
        <w:tc>
          <w:tcPr>
            <w:tcW w:w="2418" w:type="dxa"/>
            <w:tcBorders>
              <w:top w:val="single" w:color="auto" w:sz="8" w:space="0"/>
              <w:bottom w:val="single" w:color="auto" w:sz="8" w:space="0"/>
            </w:tcBorders>
            <w:shd w:val="clear" w:color="auto" w:fill="auto"/>
            <w:vAlign w:val="center"/>
          </w:tcPr>
          <w:p w14:paraId="15E9885E">
            <w:pPr>
              <w:pStyle w:val="182"/>
            </w:pPr>
            <w:r>
              <w:rPr>
                <w:rFonts w:hint="eastAsia"/>
              </w:rPr>
              <w:t>受评价单位</w:t>
            </w:r>
          </w:p>
        </w:tc>
        <w:tc>
          <w:tcPr>
            <w:tcW w:w="7252" w:type="dxa"/>
            <w:gridSpan w:val="3"/>
            <w:tcBorders>
              <w:top w:val="single" w:color="auto" w:sz="8" w:space="0"/>
              <w:bottom w:val="single" w:color="auto" w:sz="8" w:space="0"/>
            </w:tcBorders>
            <w:shd w:val="clear" w:color="auto" w:fill="auto"/>
            <w:vAlign w:val="center"/>
          </w:tcPr>
          <w:p w14:paraId="3B213CCA">
            <w:pPr>
              <w:pStyle w:val="182"/>
            </w:pPr>
          </w:p>
        </w:tc>
      </w:tr>
      <w:tr w14:paraId="5596B7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32" w:hRule="atLeast"/>
          <w:jc w:val="center"/>
        </w:trPr>
        <w:tc>
          <w:tcPr>
            <w:tcW w:w="2418" w:type="dxa"/>
            <w:tcBorders>
              <w:top w:val="single" w:color="auto" w:sz="8" w:space="0"/>
            </w:tcBorders>
            <w:shd w:val="clear" w:color="auto" w:fill="auto"/>
            <w:vAlign w:val="center"/>
          </w:tcPr>
          <w:p w14:paraId="19E34536">
            <w:pPr>
              <w:pStyle w:val="182"/>
            </w:pPr>
            <w:r>
              <w:rPr>
                <w:rFonts w:hint="eastAsia"/>
              </w:rPr>
              <w:t>评价日期</w:t>
            </w:r>
          </w:p>
        </w:tc>
        <w:tc>
          <w:tcPr>
            <w:tcW w:w="2417" w:type="dxa"/>
            <w:tcBorders>
              <w:top w:val="single" w:color="auto" w:sz="8" w:space="0"/>
            </w:tcBorders>
            <w:shd w:val="clear" w:color="auto" w:fill="auto"/>
            <w:vAlign w:val="center"/>
          </w:tcPr>
          <w:p w14:paraId="3EE2E1F0">
            <w:pPr>
              <w:pStyle w:val="182"/>
            </w:pPr>
          </w:p>
        </w:tc>
        <w:tc>
          <w:tcPr>
            <w:tcW w:w="2418" w:type="dxa"/>
            <w:tcBorders>
              <w:top w:val="single" w:color="auto" w:sz="8" w:space="0"/>
            </w:tcBorders>
            <w:shd w:val="clear" w:color="auto" w:fill="auto"/>
            <w:vAlign w:val="center"/>
          </w:tcPr>
          <w:p w14:paraId="21028C4E">
            <w:pPr>
              <w:pStyle w:val="182"/>
            </w:pPr>
            <w:r>
              <w:rPr>
                <w:rFonts w:hint="eastAsia"/>
              </w:rPr>
              <w:t>评价得分</w:t>
            </w:r>
          </w:p>
        </w:tc>
        <w:tc>
          <w:tcPr>
            <w:tcW w:w="2417" w:type="dxa"/>
            <w:tcBorders>
              <w:top w:val="single" w:color="auto" w:sz="8" w:space="0"/>
            </w:tcBorders>
            <w:shd w:val="clear" w:color="auto" w:fill="auto"/>
            <w:vAlign w:val="center"/>
          </w:tcPr>
          <w:p w14:paraId="79CD5730">
            <w:pPr>
              <w:pStyle w:val="182"/>
            </w:pPr>
          </w:p>
        </w:tc>
      </w:tr>
      <w:tr w14:paraId="782566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868" w:hRule="atLeast"/>
          <w:jc w:val="center"/>
        </w:trPr>
        <w:tc>
          <w:tcPr>
            <w:tcW w:w="2418" w:type="dxa"/>
            <w:shd w:val="clear" w:color="auto" w:fill="auto"/>
            <w:vAlign w:val="center"/>
          </w:tcPr>
          <w:p w14:paraId="1219453A">
            <w:pPr>
              <w:pStyle w:val="182"/>
            </w:pPr>
            <w:r>
              <w:rPr>
                <w:rFonts w:hint="eastAsia"/>
              </w:rPr>
              <w:t>评价结果</w:t>
            </w:r>
          </w:p>
        </w:tc>
        <w:tc>
          <w:tcPr>
            <w:tcW w:w="7252" w:type="dxa"/>
            <w:gridSpan w:val="3"/>
            <w:shd w:val="clear" w:color="auto" w:fill="auto"/>
            <w:vAlign w:val="center"/>
          </w:tcPr>
          <w:p w14:paraId="6E8179AA">
            <w:pPr>
              <w:pStyle w:val="182"/>
            </w:pPr>
          </w:p>
        </w:tc>
      </w:tr>
      <w:tr w14:paraId="60A829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961" w:hRule="atLeast"/>
          <w:jc w:val="center"/>
        </w:trPr>
        <w:tc>
          <w:tcPr>
            <w:tcW w:w="2418" w:type="dxa"/>
            <w:shd w:val="clear" w:color="auto" w:fill="auto"/>
            <w:vAlign w:val="center"/>
          </w:tcPr>
          <w:p w14:paraId="4DD6F3DB">
            <w:pPr>
              <w:pStyle w:val="182"/>
            </w:pPr>
            <w:r>
              <w:rPr>
                <w:rFonts w:hint="eastAsia"/>
              </w:rPr>
              <w:t>评价专家组签字</w:t>
            </w:r>
          </w:p>
        </w:tc>
        <w:tc>
          <w:tcPr>
            <w:tcW w:w="7252" w:type="dxa"/>
            <w:gridSpan w:val="3"/>
            <w:shd w:val="clear" w:color="auto" w:fill="auto"/>
            <w:vAlign w:val="center"/>
          </w:tcPr>
          <w:p w14:paraId="4A56026F">
            <w:pPr>
              <w:pStyle w:val="182"/>
            </w:pPr>
          </w:p>
        </w:tc>
      </w:tr>
      <w:bookmarkEnd w:id="81"/>
    </w:tbl>
    <w:p w14:paraId="2E3BB190">
      <w:pPr>
        <w:pStyle w:val="38"/>
        <w:ind w:firstLine="0" w:firstLineChars="0"/>
        <w:jc w:val="center"/>
      </w:pPr>
      <w:bookmarkStart w:id="86" w:name="BookMark8"/>
      <w:r>
        <w:rPr>
          <w:rFonts w:hint="eastAsia"/>
        </w:rPr>
        <w:drawing>
          <wp:inline distT="0" distB="0" distL="0" distR="0">
            <wp:extent cx="1485900" cy="317500"/>
            <wp:effectExtent l="0" t="0" r="0" b="0"/>
            <wp:docPr id="2089331194" name="图片 4"/>
            <wp:cNvGraphicFramePr/>
            <a:graphic xmlns:a="http://schemas.openxmlformats.org/drawingml/2006/main">
              <a:graphicData uri="http://schemas.openxmlformats.org/drawingml/2006/picture">
                <pic:pic xmlns:pic="http://schemas.openxmlformats.org/drawingml/2006/picture">
                  <pic:nvPicPr>
                    <pic:cNvPr id="2089331194" name="图片 4"/>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6"/>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A375D">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B9821B">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20342">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54199">
    <w:pPr>
      <w:pStyle w:val="64"/>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0B292">
    <w:pPr>
      <w:pStyle w:val="64"/>
    </w:pPr>
    <w:r>
      <w:fldChar w:fldCharType="begin"/>
    </w:r>
    <w:r>
      <w:instrText xml:space="preserve">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9C7E3E">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27C9F">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24846">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91AF6B">
    <w:pPr>
      <w:pStyle w:val="72"/>
      <w:rPr>
        <w:rFonts w:hint="eastAsia"/>
      </w:rPr>
    </w:pPr>
    <w:r>
      <w:fldChar w:fldCharType="begin"/>
    </w:r>
    <w:r>
      <w:instrText xml:space="preserve"> STYLEREF  标准文件_文件编号  \* MERGEFORMAT </w:instrText>
    </w:r>
    <w:r>
      <w:fldChar w:fldCharType="separate"/>
    </w:r>
    <w:r>
      <w:t>T/CSTC 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025D3">
    <w:pPr>
      <w:pStyle w:val="72"/>
      <w:rPr>
        <w:rFonts w:hint="eastAsia"/>
      </w:rPr>
    </w:pPr>
    <w:r>
      <w:fldChar w:fldCharType="begin"/>
    </w:r>
    <w:r>
      <w:instrText xml:space="preserve"> STYLEREF  标准文件_文件编号  \* MERGEFORMAT </w:instrText>
    </w:r>
    <w:r>
      <w:fldChar w:fldCharType="separate"/>
    </w:r>
    <w:r>
      <w:t>T/CSTC XXXX—2025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25626">
    <w:pPr>
      <w:pStyle w:val="19"/>
      <w:jc w:val="right"/>
    </w:pPr>
    <w:r>
      <w:fldChar w:fldCharType="begin"/>
    </w:r>
    <w:r>
      <w:instrText xml:space="preserve"> STYLEREF  标准文件_文件编号  \* MERGEFORMAT </w:instrText>
    </w:r>
    <w:r>
      <w:fldChar w:fldCharType="separate"/>
    </w:r>
    <w:r>
      <w:t>T/CSTC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7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3"/>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9"/>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5"/>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9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10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7"/>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9"/>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8"/>
      <w:lvlText w:val="%1)"/>
      <w:lvlJc w:val="left"/>
      <w:pPr>
        <w:tabs>
          <w:tab w:val="left" w:pos="851"/>
        </w:tabs>
        <w:ind w:left="851" w:hanging="426"/>
      </w:pPr>
      <w:rPr>
        <w:rFonts w:hint="eastAsia" w:ascii="宋体" w:hAnsi="Times New Roman" w:eastAsia="宋体"/>
        <w:sz w:val="21"/>
      </w:rPr>
    </w:lvl>
    <w:lvl w:ilvl="1" w:tentative="0">
      <w:start w:val="1"/>
      <w:numFmt w:val="decimal"/>
      <w:pStyle w:val="114"/>
      <w:lvlText w:val="%2)"/>
      <w:lvlJc w:val="left"/>
      <w:pPr>
        <w:tabs>
          <w:tab w:val="left" w:pos="1276"/>
        </w:tabs>
        <w:ind w:left="1276" w:hanging="425"/>
      </w:pPr>
      <w:rPr>
        <w:rFonts w:hint="eastAsia" w:ascii="宋体" w:hAnsi="Times New Roman" w:eastAsia="宋体"/>
        <w:sz w:val="21"/>
      </w:rPr>
    </w:lvl>
    <w:lvl w:ilvl="2" w:tentative="0">
      <w:start w:val="1"/>
      <w:numFmt w:val="decimal"/>
      <w:pStyle w:val="122"/>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9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21"/>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10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9"/>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6"/>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7"/>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86"/>
      <w:suff w:val="nothing"/>
      <w:lvlText w:val="附录%1"/>
      <w:lvlJc w:val="left"/>
      <w:pPr>
        <w:ind w:left="1559" w:firstLine="0"/>
      </w:pPr>
      <w:rPr>
        <w:rFonts w:hint="eastAsia"/>
        <w:spacing w:val="100"/>
      </w:rPr>
    </w:lvl>
    <w:lvl w:ilvl="1" w:tentative="0">
      <w:start w:val="1"/>
      <w:numFmt w:val="decimal"/>
      <w:pStyle w:val="88"/>
      <w:suff w:val="nothing"/>
      <w:lvlText w:val="%1.%2　"/>
      <w:lvlJc w:val="left"/>
      <w:pPr>
        <w:ind w:left="0" w:firstLine="0"/>
      </w:pPr>
      <w:rPr>
        <w:rFonts w:hint="eastAsia" w:ascii="黑体" w:eastAsia="黑体"/>
        <w:b w:val="0"/>
        <w:i w:val="0"/>
        <w:sz w:val="21"/>
      </w:rPr>
    </w:lvl>
    <w:lvl w:ilvl="2" w:tentative="0">
      <w:start w:val="1"/>
      <w:numFmt w:val="decimal"/>
      <w:pStyle w:val="89"/>
      <w:suff w:val="nothing"/>
      <w:lvlText w:val="%1.%2.%3　"/>
      <w:lvlJc w:val="left"/>
      <w:pPr>
        <w:ind w:left="0" w:firstLine="0"/>
      </w:pPr>
      <w:rPr>
        <w:rFonts w:hint="eastAsia" w:ascii="黑体" w:eastAsia="黑体"/>
        <w:b w:val="0"/>
        <w:i w:val="0"/>
        <w:sz w:val="21"/>
      </w:rPr>
    </w:lvl>
    <w:lvl w:ilvl="3" w:tentative="0">
      <w:start w:val="1"/>
      <w:numFmt w:val="decimal"/>
      <w:pStyle w:val="91"/>
      <w:suff w:val="nothing"/>
      <w:lvlText w:val="%1.%2.%3.%4　"/>
      <w:lvlJc w:val="left"/>
      <w:pPr>
        <w:ind w:left="0" w:firstLine="0"/>
      </w:pPr>
      <w:rPr>
        <w:rFonts w:hint="eastAsia" w:ascii="黑体" w:eastAsia="黑体"/>
        <w:b w:val="0"/>
        <w:i w:val="0"/>
        <w:sz w:val="21"/>
      </w:rPr>
    </w:lvl>
    <w:lvl w:ilvl="4" w:tentative="0">
      <w:start w:val="1"/>
      <w:numFmt w:val="decimal"/>
      <w:pStyle w:val="92"/>
      <w:suff w:val="nothing"/>
      <w:lvlText w:val="%1.%2.%3.%4.%5　"/>
      <w:lvlJc w:val="left"/>
      <w:pPr>
        <w:ind w:left="0" w:firstLine="0"/>
      </w:pPr>
      <w:rPr>
        <w:rFonts w:hint="eastAsia" w:ascii="黑体" w:eastAsia="黑体"/>
        <w:b w:val="0"/>
        <w:i w:val="0"/>
        <w:sz w:val="21"/>
      </w:rPr>
    </w:lvl>
    <w:lvl w:ilvl="5" w:tentative="0">
      <w:start w:val="1"/>
      <w:numFmt w:val="decimal"/>
      <w:pStyle w:val="9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6"/>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39"/>
      <w:suff w:val="nothing"/>
      <w:lvlText w:val="%1"/>
      <w:lvlJc w:val="left"/>
      <w:pPr>
        <w:ind w:left="0" w:firstLine="0"/>
      </w:pPr>
      <w:rPr>
        <w:rFonts w:hint="eastAsia"/>
      </w:rPr>
    </w:lvl>
    <w:lvl w:ilvl="1" w:tentative="0">
      <w:start w:val="1"/>
      <w:numFmt w:val="decimal"/>
      <w:pStyle w:val="40"/>
      <w:suff w:val="nothing"/>
      <w:lvlText w:val="%1%2　"/>
      <w:lvlJc w:val="left"/>
      <w:pPr>
        <w:ind w:left="283" w:firstLine="0"/>
      </w:pPr>
      <w:rPr>
        <w:rFonts w:hint="eastAsia" w:ascii="黑体" w:eastAsia="黑体"/>
        <w:b w:val="0"/>
        <w:i w:val="0"/>
        <w:sz w:val="21"/>
      </w:rPr>
    </w:lvl>
    <w:lvl w:ilvl="2" w:tentative="0">
      <w:start w:val="1"/>
      <w:numFmt w:val="decimal"/>
      <w:pStyle w:val="41"/>
      <w:suff w:val="nothing"/>
      <w:lvlText w:val="%1%2.%3　"/>
      <w:lvlJc w:val="left"/>
      <w:pPr>
        <w:ind w:left="14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37"/>
      <w:suff w:val="nothing"/>
      <w:lvlText w:val="%1%2.%3.%4　"/>
      <w:lvlJc w:val="left"/>
      <w:pPr>
        <w:ind w:left="0" w:firstLine="0"/>
      </w:pPr>
      <w:rPr>
        <w:rFonts w:hint="eastAsia" w:ascii="黑体" w:eastAsia="黑体"/>
        <w:b w:val="0"/>
        <w:i w:val="0"/>
        <w:sz w:val="21"/>
      </w:rPr>
    </w:lvl>
    <w:lvl w:ilvl="4" w:tentative="0">
      <w:start w:val="1"/>
      <w:numFmt w:val="decimal"/>
      <w:pStyle w:val="42"/>
      <w:suff w:val="nothing"/>
      <w:lvlText w:val="%1%2.%3.%4.%5　"/>
      <w:lvlJc w:val="left"/>
      <w:pPr>
        <w:ind w:left="0" w:firstLine="0"/>
      </w:pPr>
      <w:rPr>
        <w:rFonts w:hint="eastAsia" w:ascii="黑体" w:eastAsia="黑体"/>
        <w:b w:val="0"/>
        <w:i w:val="0"/>
        <w:sz w:val="21"/>
      </w:rPr>
    </w:lvl>
    <w:lvl w:ilvl="5" w:tentative="0">
      <w:start w:val="1"/>
      <w:numFmt w:val="decimal"/>
      <w:pStyle w:val="43"/>
      <w:suff w:val="nothing"/>
      <w:lvlText w:val="%1%2.%3.%4.%5.%6　"/>
      <w:lvlJc w:val="left"/>
      <w:pPr>
        <w:ind w:left="0" w:firstLine="0"/>
      </w:pPr>
      <w:rPr>
        <w:rFonts w:hint="eastAsia" w:ascii="黑体" w:eastAsia="黑体"/>
        <w:b w:val="0"/>
        <w:i w:val="0"/>
        <w:sz w:val="21"/>
      </w:rPr>
    </w:lvl>
    <w:lvl w:ilvl="6" w:tentative="0">
      <w:start w:val="1"/>
      <w:numFmt w:val="decimal"/>
      <w:pStyle w:val="4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20"/>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4"/>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7"/>
  </w:num>
  <w:num w:numId="2">
    <w:abstractNumId w:val="0"/>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bordersDoNotSurroundHeader w:val="1"/>
  <w:bordersDoNotSurroundFooter w:val="1"/>
  <w:attachedTemplate r:id="rId1"/>
  <w:documentProtection w:edit="forms" w:enforcement="1" w:cryptProviderType="rsaAES" w:cryptAlgorithmClass="hash" w:cryptAlgorithmType="typeAny" w:cryptAlgorithmSid="14" w:cryptSpinCount="100000" w:hash="ejJt5ngw/85XxsVjVHMWvkyxG0fxTsTT3SkX350RAQngoM9d436p0Ei38/5L/O2aXQpuD/k0hf3/nSGZ0ijhng==" w:salt="H58VnI+xstMHVFYPuVnqd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IwN2QzZWEyYWIxODZiZjA0MjIwNjBlZjFkMjk4NWYifQ=="/>
  </w:docVars>
  <w:rsids>
    <w:rsidRoot w:val="001B65E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6D49"/>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6AB7"/>
    <w:rsid w:val="000C7666"/>
    <w:rsid w:val="000D0A9C"/>
    <w:rsid w:val="000D1795"/>
    <w:rsid w:val="000D3261"/>
    <w:rsid w:val="000D329A"/>
    <w:rsid w:val="000D4B9C"/>
    <w:rsid w:val="000D4EB6"/>
    <w:rsid w:val="000D753B"/>
    <w:rsid w:val="000E4C9E"/>
    <w:rsid w:val="000E6778"/>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1B6A"/>
    <w:rsid w:val="001642FA"/>
    <w:rsid w:val="001649EB"/>
    <w:rsid w:val="00164BAF"/>
    <w:rsid w:val="00164FA8"/>
    <w:rsid w:val="00165065"/>
    <w:rsid w:val="00165434"/>
    <w:rsid w:val="0016580B"/>
    <w:rsid w:val="00165F49"/>
    <w:rsid w:val="00166B88"/>
    <w:rsid w:val="0016770A"/>
    <w:rsid w:val="001701A6"/>
    <w:rsid w:val="00170804"/>
    <w:rsid w:val="001708E9"/>
    <w:rsid w:val="0017340B"/>
    <w:rsid w:val="00173FB1"/>
    <w:rsid w:val="00176DFD"/>
    <w:rsid w:val="0018250E"/>
    <w:rsid w:val="001852C9"/>
    <w:rsid w:val="00185C1A"/>
    <w:rsid w:val="00187A0B"/>
    <w:rsid w:val="00190087"/>
    <w:rsid w:val="001913C4"/>
    <w:rsid w:val="0019348F"/>
    <w:rsid w:val="00193A07"/>
    <w:rsid w:val="00194C95"/>
    <w:rsid w:val="00195C34"/>
    <w:rsid w:val="00196EF5"/>
    <w:rsid w:val="001A1A53"/>
    <w:rsid w:val="001A234A"/>
    <w:rsid w:val="001A4CF3"/>
    <w:rsid w:val="001A6696"/>
    <w:rsid w:val="001A6C7F"/>
    <w:rsid w:val="001B06E8"/>
    <w:rsid w:val="001B65E5"/>
    <w:rsid w:val="001B71D0"/>
    <w:rsid w:val="001B71EE"/>
    <w:rsid w:val="001C04A8"/>
    <w:rsid w:val="001C265D"/>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57CB"/>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65"/>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05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E72C6"/>
    <w:rsid w:val="003F0841"/>
    <w:rsid w:val="003F23D3"/>
    <w:rsid w:val="003F3F08"/>
    <w:rsid w:val="003F49F1"/>
    <w:rsid w:val="003F6272"/>
    <w:rsid w:val="00400E72"/>
    <w:rsid w:val="00401400"/>
    <w:rsid w:val="00404869"/>
    <w:rsid w:val="00405884"/>
    <w:rsid w:val="00407D39"/>
    <w:rsid w:val="0041477A"/>
    <w:rsid w:val="004167A3"/>
    <w:rsid w:val="00417CF5"/>
    <w:rsid w:val="00427B6A"/>
    <w:rsid w:val="00432DAA"/>
    <w:rsid w:val="00434305"/>
    <w:rsid w:val="00435DF7"/>
    <w:rsid w:val="0043741A"/>
    <w:rsid w:val="0044083F"/>
    <w:rsid w:val="00441AE7"/>
    <w:rsid w:val="00445574"/>
    <w:rsid w:val="004467FB"/>
    <w:rsid w:val="00452D6B"/>
    <w:rsid w:val="00453E22"/>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6B5"/>
    <w:rsid w:val="00501139"/>
    <w:rsid w:val="00502B7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1D69"/>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447"/>
    <w:rsid w:val="00614CC1"/>
    <w:rsid w:val="00615A9D"/>
    <w:rsid w:val="00617387"/>
    <w:rsid w:val="006205D6"/>
    <w:rsid w:val="006252D8"/>
    <w:rsid w:val="006259BC"/>
    <w:rsid w:val="0062636B"/>
    <w:rsid w:val="0062696B"/>
    <w:rsid w:val="00632182"/>
    <w:rsid w:val="00632AE0"/>
    <w:rsid w:val="00633C17"/>
    <w:rsid w:val="00634D9E"/>
    <w:rsid w:val="00636E3E"/>
    <w:rsid w:val="006379F7"/>
    <w:rsid w:val="00637E4D"/>
    <w:rsid w:val="00640620"/>
    <w:rsid w:val="00641A1F"/>
    <w:rsid w:val="00645904"/>
    <w:rsid w:val="00646E1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1EA"/>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336A"/>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BF1"/>
    <w:rsid w:val="00752B4D"/>
    <w:rsid w:val="00755402"/>
    <w:rsid w:val="00756B26"/>
    <w:rsid w:val="00756EDF"/>
    <w:rsid w:val="007600E3"/>
    <w:rsid w:val="00765C43"/>
    <w:rsid w:val="00765EFB"/>
    <w:rsid w:val="007671CA"/>
    <w:rsid w:val="00767C61"/>
    <w:rsid w:val="0077008A"/>
    <w:rsid w:val="00772374"/>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251D"/>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0F53"/>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0F2D"/>
    <w:rsid w:val="00873302"/>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3FF"/>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B23"/>
    <w:rsid w:val="009245AE"/>
    <w:rsid w:val="009245F5"/>
    <w:rsid w:val="009249EC"/>
    <w:rsid w:val="009273B3"/>
    <w:rsid w:val="009305B5"/>
    <w:rsid w:val="00935EE9"/>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2BD9"/>
    <w:rsid w:val="0098364B"/>
    <w:rsid w:val="00984171"/>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1CEA"/>
    <w:rsid w:val="00A129D0"/>
    <w:rsid w:val="00A12C33"/>
    <w:rsid w:val="00A138BA"/>
    <w:rsid w:val="00A14C8E"/>
    <w:rsid w:val="00A153D9"/>
    <w:rsid w:val="00A15F09"/>
    <w:rsid w:val="00A169B6"/>
    <w:rsid w:val="00A2271D"/>
    <w:rsid w:val="00A237D5"/>
    <w:rsid w:val="00A30EFC"/>
    <w:rsid w:val="00A31984"/>
    <w:rsid w:val="00A3290A"/>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B48"/>
    <w:rsid w:val="00AE070A"/>
    <w:rsid w:val="00AE101C"/>
    <w:rsid w:val="00AE2A69"/>
    <w:rsid w:val="00AE37E5"/>
    <w:rsid w:val="00AE5EB4"/>
    <w:rsid w:val="00AF0C18"/>
    <w:rsid w:val="00AF3A45"/>
    <w:rsid w:val="00AF47C5"/>
    <w:rsid w:val="00AF5398"/>
    <w:rsid w:val="00AF6533"/>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4DD7"/>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5385"/>
    <w:rsid w:val="00C47CE8"/>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302C"/>
    <w:rsid w:val="00D4514F"/>
    <w:rsid w:val="00D451E2"/>
    <w:rsid w:val="00D45E89"/>
    <w:rsid w:val="00D45E8D"/>
    <w:rsid w:val="00D466AE"/>
    <w:rsid w:val="00D4734F"/>
    <w:rsid w:val="00D51BF3"/>
    <w:rsid w:val="00D66846"/>
    <w:rsid w:val="00D66DE0"/>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20A7"/>
    <w:rsid w:val="00DF44DE"/>
    <w:rsid w:val="00E01138"/>
    <w:rsid w:val="00E02DFB"/>
    <w:rsid w:val="00E030F9"/>
    <w:rsid w:val="00E0311A"/>
    <w:rsid w:val="00E03138"/>
    <w:rsid w:val="00E06404"/>
    <w:rsid w:val="00E11A85"/>
    <w:rsid w:val="00E12495"/>
    <w:rsid w:val="00E15CCD"/>
    <w:rsid w:val="00E15D1E"/>
    <w:rsid w:val="00E202EF"/>
    <w:rsid w:val="00E210B5"/>
    <w:rsid w:val="00E2552F"/>
    <w:rsid w:val="00E3137A"/>
    <w:rsid w:val="00E32CCF"/>
    <w:rsid w:val="00E34A98"/>
    <w:rsid w:val="00E35D1E"/>
    <w:rsid w:val="00E364F9"/>
    <w:rsid w:val="00E365FA"/>
    <w:rsid w:val="00E36789"/>
    <w:rsid w:val="00E40093"/>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99E"/>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ACC"/>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56B72"/>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703"/>
    <w:rsid w:val="00FD09A1"/>
    <w:rsid w:val="00FD2A7C"/>
    <w:rsid w:val="00FD59EB"/>
    <w:rsid w:val="00FD7299"/>
    <w:rsid w:val="00FE1FBE"/>
    <w:rsid w:val="00FE2F24"/>
    <w:rsid w:val="00FE3901"/>
    <w:rsid w:val="00FE39D3"/>
    <w:rsid w:val="00FE4BCE"/>
    <w:rsid w:val="00FE54AE"/>
    <w:rsid w:val="00FE576A"/>
    <w:rsid w:val="00FE626F"/>
    <w:rsid w:val="00FE7E79"/>
    <w:rsid w:val="00FF3E7D"/>
    <w:rsid w:val="00FF5B99"/>
    <w:rsid w:val="00FF730C"/>
    <w:rsid w:val="00FF73F4"/>
    <w:rsid w:val="00FF7CE4"/>
    <w:rsid w:val="00FF7E39"/>
    <w:rsid w:val="0320472C"/>
    <w:rsid w:val="11CE6908"/>
    <w:rsid w:val="122B4730"/>
    <w:rsid w:val="22337B1F"/>
    <w:rsid w:val="26B009FF"/>
    <w:rsid w:val="26C82522"/>
    <w:rsid w:val="28657B53"/>
    <w:rsid w:val="2A152120"/>
    <w:rsid w:val="2BEA36B4"/>
    <w:rsid w:val="2D8554CF"/>
    <w:rsid w:val="30924004"/>
    <w:rsid w:val="34F93703"/>
    <w:rsid w:val="388471E0"/>
    <w:rsid w:val="38D6533D"/>
    <w:rsid w:val="409E221E"/>
    <w:rsid w:val="42BB7828"/>
    <w:rsid w:val="4B86177A"/>
    <w:rsid w:val="4CC62CE1"/>
    <w:rsid w:val="4D0553D3"/>
    <w:rsid w:val="4F9A0268"/>
    <w:rsid w:val="5C885101"/>
    <w:rsid w:val="5DD437C6"/>
    <w:rsid w:val="602E34A0"/>
    <w:rsid w:val="66132736"/>
    <w:rsid w:val="6DA67183"/>
    <w:rsid w:val="709A3AFD"/>
    <w:rsid w:val="73466F07"/>
    <w:rsid w:val="76326989"/>
    <w:rsid w:val="787951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46"/>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7"/>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8"/>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49"/>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5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5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52"/>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53"/>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54"/>
    <w:autoRedefine/>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annotation text"/>
    <w:basedOn w:val="1"/>
    <w:link w:val="233"/>
    <w:autoRedefine/>
    <w:unhideWhenUsed/>
    <w:qFormat/>
    <w:uiPriority w:val="99"/>
    <w:pPr>
      <w:jc w:val="left"/>
    </w:pPr>
  </w:style>
  <w:style w:type="paragraph" w:styleId="14">
    <w:name w:val="Body Text"/>
    <w:basedOn w:val="1"/>
    <w:link w:val="96"/>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57"/>
    <w:autoRedefine/>
    <w:semiHidden/>
    <w:unhideWhenUsed/>
    <w:qFormat/>
    <w:uiPriority w:val="99"/>
    <w:rPr>
      <w:sz w:val="18"/>
      <w:szCs w:val="18"/>
    </w:rPr>
  </w:style>
  <w:style w:type="paragraph" w:styleId="18">
    <w:name w:val="footer"/>
    <w:basedOn w:val="1"/>
    <w:link w:val="56"/>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55"/>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7"/>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60"/>
    <w:autoRedefine/>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4"/>
    <w:autoRedefine/>
    <w:semiHidden/>
    <w:unhideWhenUsed/>
    <w:qFormat/>
    <w:uiPriority w:val="99"/>
    <w:rPr>
      <w:b/>
      <w:bCs/>
    </w:rPr>
  </w:style>
  <w:style w:type="table" w:styleId="29">
    <w:name w:val="Table Grid"/>
    <w:basedOn w:val="2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autoRedefine/>
    <w:qFormat/>
    <w:uiPriority w:val="22"/>
    <w:rPr>
      <w:b/>
      <w:bCs/>
    </w:rPr>
  </w:style>
  <w:style w:type="character" w:styleId="32">
    <w:name w:val="page number"/>
    <w:autoRedefine/>
    <w:qFormat/>
    <w:uiPriority w:val="0"/>
    <w:rPr>
      <w:rFonts w:ascii="宋体" w:hAnsi="Times New Roman" w:eastAsia="宋体"/>
      <w:sz w:val="18"/>
    </w:rPr>
  </w:style>
  <w:style w:type="character" w:styleId="33">
    <w:name w:val="Emphasis"/>
    <w:qFormat/>
    <w:uiPriority w:val="20"/>
    <w:rPr>
      <w:i/>
      <w:iCs/>
    </w:rPr>
  </w:style>
  <w:style w:type="character" w:styleId="34">
    <w:name w:val="Hyperlink"/>
    <w:autoRedefine/>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autoRedefine/>
    <w:semiHidden/>
    <w:unhideWhenUsed/>
    <w:qFormat/>
    <w:uiPriority w:val="99"/>
    <w:rPr>
      <w:sz w:val="21"/>
      <w:szCs w:val="21"/>
    </w:rPr>
  </w:style>
  <w:style w:type="character" w:styleId="36">
    <w:name w:val="footnote reference"/>
    <w:autoRedefine/>
    <w:semiHidden/>
    <w:qFormat/>
    <w:uiPriority w:val="0"/>
    <w:rPr>
      <w:rFonts w:ascii="宋体" w:hAnsi="宋体" w:eastAsia="宋体" w:cs="Times New Roman"/>
      <w:spacing w:val="0"/>
      <w:sz w:val="18"/>
      <w:vertAlign w:val="superscript"/>
    </w:rPr>
  </w:style>
  <w:style w:type="paragraph" w:customStyle="1" w:styleId="37">
    <w:name w:val="标准文件_二级条标题"/>
    <w:next w:val="38"/>
    <w:autoRedefine/>
    <w:qFormat/>
    <w:uiPriority w:val="0"/>
    <w:pPr>
      <w:widowControl w:val="0"/>
      <w:numPr>
        <w:ilvl w:val="3"/>
        <w:numId w:val="1"/>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38">
    <w:name w:val="标准文件_段"/>
    <w:link w:val="45"/>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9">
    <w:name w:val="前言标题"/>
    <w:next w:val="1"/>
    <w:autoRedefine/>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40">
    <w:name w:val="标准文件_章标题"/>
    <w:next w:val="38"/>
    <w:autoRedefine/>
    <w:qFormat/>
    <w:uiPriority w:val="0"/>
    <w:pPr>
      <w:numPr>
        <w:ilvl w:val="1"/>
        <w:numId w:val="1"/>
      </w:numPr>
      <w:spacing w:before="240" w:beforeLines="100" w:after="240" w:afterLines="100"/>
      <w:ind w:left="0"/>
      <w:jc w:val="both"/>
      <w:outlineLvl w:val="0"/>
    </w:pPr>
    <w:rPr>
      <w:rFonts w:ascii="黑体" w:hAnsi="Times New Roman" w:eastAsia="黑体" w:cs="Times New Roman"/>
      <w:sz w:val="21"/>
      <w:lang w:val="en-US" w:eastAsia="zh-CN" w:bidi="ar-SA"/>
    </w:rPr>
  </w:style>
  <w:style w:type="paragraph" w:customStyle="1" w:styleId="41">
    <w:name w:val="标准文件_一级条标题"/>
    <w:basedOn w:val="40"/>
    <w:next w:val="38"/>
    <w:autoRedefine/>
    <w:qFormat/>
    <w:uiPriority w:val="0"/>
    <w:pPr>
      <w:numPr>
        <w:ilvl w:val="2"/>
      </w:numPr>
      <w:spacing w:before="120" w:beforeLines="50" w:after="120" w:afterLines="50"/>
      <w:ind w:left="0"/>
      <w:outlineLvl w:val="1"/>
    </w:pPr>
  </w:style>
  <w:style w:type="paragraph" w:customStyle="1" w:styleId="42">
    <w:name w:val="标准文件_三级条标题"/>
    <w:basedOn w:val="37"/>
    <w:next w:val="38"/>
    <w:autoRedefine/>
    <w:qFormat/>
    <w:uiPriority w:val="0"/>
    <w:pPr>
      <w:widowControl/>
      <w:numPr>
        <w:ilvl w:val="4"/>
      </w:numPr>
      <w:outlineLvl w:val="3"/>
    </w:pPr>
  </w:style>
  <w:style w:type="paragraph" w:customStyle="1" w:styleId="43">
    <w:name w:val="标准文件_四级条标题"/>
    <w:next w:val="38"/>
    <w:autoRedefine/>
    <w:qFormat/>
    <w:uiPriority w:val="0"/>
    <w:pPr>
      <w:widowControl w:val="0"/>
      <w:numPr>
        <w:ilvl w:val="5"/>
        <w:numId w:val="1"/>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44">
    <w:name w:val="标准文件_五级条标题"/>
    <w:next w:val="38"/>
    <w:autoRedefine/>
    <w:qFormat/>
    <w:uiPriority w:val="0"/>
    <w:pPr>
      <w:widowControl w:val="0"/>
      <w:numPr>
        <w:ilvl w:val="6"/>
        <w:numId w:val="1"/>
      </w:numPr>
      <w:spacing w:before="50" w:beforeLines="50" w:after="50" w:afterLines="50"/>
      <w:jc w:val="both"/>
      <w:outlineLvl w:val="5"/>
    </w:pPr>
    <w:rPr>
      <w:rFonts w:ascii="黑体" w:hAnsi="Times New Roman" w:eastAsia="黑体" w:cs="Times New Roman"/>
      <w:sz w:val="21"/>
      <w:lang w:val="en-US" w:eastAsia="zh-CN" w:bidi="ar-SA"/>
    </w:rPr>
  </w:style>
  <w:style w:type="character" w:customStyle="1" w:styleId="45">
    <w:name w:val="标准文件_段 Char"/>
    <w:link w:val="38"/>
    <w:autoRedefine/>
    <w:qFormat/>
    <w:uiPriority w:val="0"/>
    <w:rPr>
      <w:rFonts w:ascii="宋体" w:hAnsi="Times New Roman"/>
      <w:sz w:val="21"/>
    </w:rPr>
  </w:style>
  <w:style w:type="character" w:customStyle="1" w:styleId="46">
    <w:name w:val="标题 1 字符"/>
    <w:link w:val="2"/>
    <w:autoRedefine/>
    <w:qFormat/>
    <w:uiPriority w:val="0"/>
    <w:rPr>
      <w:b/>
      <w:bCs/>
      <w:kern w:val="44"/>
      <w:sz w:val="44"/>
      <w:szCs w:val="44"/>
    </w:rPr>
  </w:style>
  <w:style w:type="character" w:customStyle="1" w:styleId="47">
    <w:name w:val="标题 2 字符"/>
    <w:link w:val="3"/>
    <w:autoRedefine/>
    <w:qFormat/>
    <w:uiPriority w:val="0"/>
    <w:rPr>
      <w:rFonts w:ascii="Arial" w:hAnsi="Arial" w:eastAsia="黑体"/>
      <w:b/>
      <w:bCs/>
      <w:kern w:val="2"/>
      <w:sz w:val="32"/>
      <w:szCs w:val="32"/>
    </w:rPr>
  </w:style>
  <w:style w:type="character" w:customStyle="1" w:styleId="48">
    <w:name w:val="标题 3 字符"/>
    <w:link w:val="4"/>
    <w:autoRedefine/>
    <w:qFormat/>
    <w:uiPriority w:val="0"/>
    <w:rPr>
      <w:b/>
      <w:bCs/>
      <w:kern w:val="2"/>
      <w:sz w:val="32"/>
      <w:szCs w:val="32"/>
    </w:rPr>
  </w:style>
  <w:style w:type="character" w:customStyle="1" w:styleId="49">
    <w:name w:val="标题 4 字符"/>
    <w:link w:val="5"/>
    <w:autoRedefine/>
    <w:qFormat/>
    <w:uiPriority w:val="0"/>
    <w:rPr>
      <w:rFonts w:ascii="Arial" w:hAnsi="Arial" w:eastAsia="黑体"/>
      <w:b/>
      <w:bCs/>
      <w:kern w:val="2"/>
      <w:sz w:val="28"/>
      <w:szCs w:val="28"/>
    </w:rPr>
  </w:style>
  <w:style w:type="character" w:customStyle="1" w:styleId="50">
    <w:name w:val="标题 5 字符"/>
    <w:link w:val="6"/>
    <w:autoRedefine/>
    <w:qFormat/>
    <w:uiPriority w:val="0"/>
    <w:rPr>
      <w:b/>
      <w:bCs/>
      <w:kern w:val="2"/>
      <w:sz w:val="28"/>
      <w:szCs w:val="28"/>
    </w:rPr>
  </w:style>
  <w:style w:type="character" w:customStyle="1" w:styleId="51">
    <w:name w:val="标题 6 字符"/>
    <w:link w:val="7"/>
    <w:autoRedefine/>
    <w:qFormat/>
    <w:uiPriority w:val="0"/>
    <w:rPr>
      <w:rFonts w:ascii="Arial" w:hAnsi="Arial" w:eastAsia="黑体"/>
      <w:b/>
      <w:bCs/>
      <w:kern w:val="2"/>
      <w:sz w:val="24"/>
      <w:szCs w:val="24"/>
    </w:rPr>
  </w:style>
  <w:style w:type="character" w:customStyle="1" w:styleId="52">
    <w:name w:val="标题 7 字符"/>
    <w:link w:val="8"/>
    <w:autoRedefine/>
    <w:qFormat/>
    <w:uiPriority w:val="0"/>
    <w:rPr>
      <w:b/>
      <w:bCs/>
      <w:kern w:val="2"/>
      <w:sz w:val="24"/>
      <w:szCs w:val="24"/>
    </w:rPr>
  </w:style>
  <w:style w:type="character" w:customStyle="1" w:styleId="53">
    <w:name w:val="标题 8 字符"/>
    <w:link w:val="9"/>
    <w:autoRedefine/>
    <w:qFormat/>
    <w:uiPriority w:val="0"/>
    <w:rPr>
      <w:rFonts w:ascii="Arial" w:hAnsi="Arial" w:eastAsia="黑体"/>
      <w:kern w:val="2"/>
      <w:sz w:val="24"/>
      <w:szCs w:val="24"/>
    </w:rPr>
  </w:style>
  <w:style w:type="character" w:customStyle="1" w:styleId="54">
    <w:name w:val="标题 9 字符"/>
    <w:link w:val="10"/>
    <w:autoRedefine/>
    <w:qFormat/>
    <w:uiPriority w:val="0"/>
    <w:rPr>
      <w:rFonts w:ascii="Arial" w:hAnsi="Arial" w:eastAsia="黑体"/>
      <w:kern w:val="2"/>
      <w:sz w:val="21"/>
      <w:szCs w:val="21"/>
    </w:rPr>
  </w:style>
  <w:style w:type="character" w:customStyle="1" w:styleId="55">
    <w:name w:val="页眉 字符"/>
    <w:link w:val="19"/>
    <w:autoRedefine/>
    <w:qFormat/>
    <w:uiPriority w:val="99"/>
    <w:rPr>
      <w:kern w:val="2"/>
      <w:sz w:val="18"/>
      <w:szCs w:val="18"/>
    </w:rPr>
  </w:style>
  <w:style w:type="character" w:customStyle="1" w:styleId="56">
    <w:name w:val="页脚 字符"/>
    <w:link w:val="18"/>
    <w:autoRedefine/>
    <w:qFormat/>
    <w:uiPriority w:val="99"/>
    <w:rPr>
      <w:rFonts w:ascii="宋体"/>
      <w:kern w:val="2"/>
      <w:sz w:val="18"/>
      <w:szCs w:val="18"/>
    </w:rPr>
  </w:style>
  <w:style w:type="character" w:customStyle="1" w:styleId="57">
    <w:name w:val="批注框文本 字符"/>
    <w:link w:val="17"/>
    <w:semiHidden/>
    <w:qFormat/>
    <w:uiPriority w:val="99"/>
    <w:rPr>
      <w:kern w:val="2"/>
      <w:sz w:val="18"/>
      <w:szCs w:val="18"/>
    </w:rPr>
  </w:style>
  <w:style w:type="paragraph" w:styleId="58">
    <w:name w:val="Quote"/>
    <w:basedOn w:val="1"/>
    <w:next w:val="1"/>
    <w:link w:val="59"/>
    <w:autoRedefine/>
    <w:qFormat/>
    <w:uiPriority w:val="29"/>
    <w:rPr>
      <w:i/>
      <w:iCs/>
      <w:color w:val="000000"/>
    </w:rPr>
  </w:style>
  <w:style w:type="character" w:customStyle="1" w:styleId="59">
    <w:name w:val="引用 字符"/>
    <w:link w:val="58"/>
    <w:autoRedefine/>
    <w:qFormat/>
    <w:uiPriority w:val="29"/>
    <w:rPr>
      <w:i/>
      <w:iCs/>
      <w:color w:val="000000"/>
      <w:kern w:val="2"/>
      <w:sz w:val="21"/>
      <w:szCs w:val="21"/>
    </w:rPr>
  </w:style>
  <w:style w:type="character" w:customStyle="1" w:styleId="60">
    <w:name w:val="标题 字符"/>
    <w:link w:val="26"/>
    <w:autoRedefine/>
    <w:qFormat/>
    <w:uiPriority w:val="0"/>
    <w:rPr>
      <w:rFonts w:ascii="Arial" w:hAnsi="Arial" w:cs="Arial"/>
      <w:b/>
      <w:bCs/>
      <w:kern w:val="2"/>
      <w:sz w:val="32"/>
      <w:szCs w:val="32"/>
    </w:rPr>
  </w:style>
  <w:style w:type="paragraph" w:customStyle="1" w:styleId="61">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62">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63">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64">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65">
    <w:name w:val="标准书眉一"/>
    <w:qFormat/>
    <w:uiPriority w:val="0"/>
    <w:pPr>
      <w:jc w:val="both"/>
    </w:pPr>
    <w:rPr>
      <w:rFonts w:ascii="Times New Roman" w:hAnsi="Times New Roman" w:eastAsia="宋体" w:cs="Times New Roman"/>
      <w:lang w:val="en-US" w:eastAsia="zh-CN" w:bidi="ar-SA"/>
    </w:rPr>
  </w:style>
  <w:style w:type="paragraph" w:customStyle="1" w:styleId="66">
    <w:name w:val="标准文件_ICS"/>
    <w:basedOn w:val="1"/>
    <w:autoRedefine/>
    <w:qFormat/>
    <w:uiPriority w:val="0"/>
    <w:pPr>
      <w:spacing w:line="0" w:lineRule="atLeast"/>
    </w:pPr>
    <w:rPr>
      <w:rFonts w:ascii="黑体" w:hAnsi="宋体" w:eastAsia="黑体"/>
    </w:rPr>
  </w:style>
  <w:style w:type="paragraph" w:customStyle="1" w:styleId="67">
    <w:name w:val="标准文件_标准正文"/>
    <w:basedOn w:val="1"/>
    <w:next w:val="38"/>
    <w:autoRedefine/>
    <w:qFormat/>
    <w:uiPriority w:val="0"/>
    <w:pPr>
      <w:snapToGrid w:val="0"/>
      <w:ind w:firstLine="200" w:firstLineChars="200"/>
    </w:pPr>
    <w:rPr>
      <w:kern w:val="0"/>
    </w:rPr>
  </w:style>
  <w:style w:type="paragraph" w:customStyle="1" w:styleId="68">
    <w:name w:val="标准文件_版本"/>
    <w:basedOn w:val="67"/>
    <w:autoRedefine/>
    <w:qFormat/>
    <w:uiPriority w:val="0"/>
    <w:pPr>
      <w:adjustRightInd/>
      <w:snapToGrid/>
      <w:ind w:firstLine="0" w:firstLineChars="0"/>
    </w:pPr>
    <w:rPr>
      <w:rFonts w:ascii="宋体" w:hAnsi="宋体"/>
      <w:kern w:val="2"/>
    </w:rPr>
  </w:style>
  <w:style w:type="paragraph" w:customStyle="1" w:styleId="69">
    <w:name w:val="标准文件_标准部门"/>
    <w:basedOn w:val="1"/>
    <w:autoRedefine/>
    <w:qFormat/>
    <w:uiPriority w:val="0"/>
    <w:pPr>
      <w:jc w:val="center"/>
    </w:pPr>
    <w:rPr>
      <w:rFonts w:ascii="黑体" w:eastAsia="黑体"/>
      <w:kern w:val="0"/>
      <w:sz w:val="44"/>
    </w:rPr>
  </w:style>
  <w:style w:type="paragraph" w:customStyle="1" w:styleId="70">
    <w:name w:val="标准文件_标准代替"/>
    <w:basedOn w:val="1"/>
    <w:next w:val="1"/>
    <w:autoRedefine/>
    <w:qFormat/>
    <w:uiPriority w:val="0"/>
    <w:pPr>
      <w:spacing w:line="310" w:lineRule="exact"/>
      <w:jc w:val="right"/>
    </w:pPr>
    <w:rPr>
      <w:rFonts w:ascii="宋体" w:hAnsi="宋体"/>
      <w:kern w:val="0"/>
    </w:rPr>
  </w:style>
  <w:style w:type="paragraph" w:customStyle="1" w:styleId="71">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72">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73">
    <w:name w:val="标准文件_页眉偶数页"/>
    <w:basedOn w:val="72"/>
    <w:next w:val="1"/>
    <w:autoRedefine/>
    <w:qFormat/>
    <w:uiPriority w:val="0"/>
    <w:pPr>
      <w:jc w:val="left"/>
    </w:pPr>
  </w:style>
  <w:style w:type="paragraph" w:customStyle="1" w:styleId="74">
    <w:name w:val="标准文件_参考文献标题"/>
    <w:basedOn w:val="1"/>
    <w:next w:val="1"/>
    <w:autoRedefine/>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75">
    <w:name w:val="标准文件_参考文献条目"/>
    <w:autoRedefine/>
    <w:qFormat/>
    <w:uiPriority w:val="0"/>
    <w:pPr>
      <w:numPr>
        <w:ilvl w:val="0"/>
        <w:numId w:val="2"/>
      </w:numPr>
    </w:pPr>
    <w:rPr>
      <w:rFonts w:ascii="宋体" w:hAnsi="Times New Roman" w:eastAsia="宋体" w:cs="Times New Roman"/>
      <w:lang w:val="en-US" w:eastAsia="zh-CN" w:bidi="ar-SA"/>
    </w:rPr>
  </w:style>
  <w:style w:type="character" w:customStyle="1" w:styleId="76">
    <w:name w:val="标准文件_发布"/>
    <w:autoRedefine/>
    <w:qFormat/>
    <w:uiPriority w:val="0"/>
    <w:rPr>
      <w:rFonts w:ascii="黑体" w:eastAsia="黑体"/>
      <w:spacing w:val="0"/>
      <w:w w:val="100"/>
      <w:position w:val="3"/>
      <w:sz w:val="28"/>
    </w:rPr>
  </w:style>
  <w:style w:type="paragraph" w:customStyle="1" w:styleId="77">
    <w:name w:val="标准文件_方框数字列项"/>
    <w:basedOn w:val="38"/>
    <w:autoRedefine/>
    <w:qFormat/>
    <w:uiPriority w:val="0"/>
    <w:pPr>
      <w:numPr>
        <w:ilvl w:val="0"/>
        <w:numId w:val="3"/>
      </w:numPr>
      <w:ind w:firstLine="0" w:firstLineChars="0"/>
    </w:pPr>
  </w:style>
  <w:style w:type="paragraph" w:customStyle="1" w:styleId="78">
    <w:name w:val="标准文件_封面标准编号"/>
    <w:basedOn w:val="1"/>
    <w:next w:val="70"/>
    <w:autoRedefine/>
    <w:qFormat/>
    <w:uiPriority w:val="0"/>
    <w:pPr>
      <w:spacing w:line="310" w:lineRule="exact"/>
      <w:jc w:val="right"/>
    </w:pPr>
    <w:rPr>
      <w:rFonts w:ascii="黑体" w:eastAsia="黑体"/>
      <w:kern w:val="0"/>
      <w:sz w:val="28"/>
    </w:rPr>
  </w:style>
  <w:style w:type="paragraph" w:customStyle="1" w:styleId="79">
    <w:name w:val="标准文件_封面标准分类号"/>
    <w:basedOn w:val="1"/>
    <w:autoRedefine/>
    <w:qFormat/>
    <w:uiPriority w:val="0"/>
    <w:rPr>
      <w:rFonts w:ascii="黑体" w:eastAsia="黑体"/>
      <w:b/>
      <w:kern w:val="0"/>
      <w:sz w:val="28"/>
    </w:rPr>
  </w:style>
  <w:style w:type="paragraph" w:customStyle="1" w:styleId="80">
    <w:name w:val="标准文件_封面标准名称"/>
    <w:basedOn w:val="1"/>
    <w:autoRedefine/>
    <w:qFormat/>
    <w:uiPriority w:val="0"/>
    <w:pPr>
      <w:spacing w:line="240" w:lineRule="auto"/>
      <w:jc w:val="center"/>
    </w:pPr>
    <w:rPr>
      <w:rFonts w:ascii="黑体" w:eastAsia="黑体"/>
      <w:kern w:val="0"/>
      <w:sz w:val="52"/>
    </w:rPr>
  </w:style>
  <w:style w:type="paragraph" w:customStyle="1" w:styleId="81">
    <w:name w:val="标准文件_封面标准英文名称"/>
    <w:basedOn w:val="1"/>
    <w:autoRedefine/>
    <w:qFormat/>
    <w:uiPriority w:val="0"/>
    <w:pPr>
      <w:spacing w:line="240" w:lineRule="auto"/>
      <w:jc w:val="center"/>
    </w:pPr>
    <w:rPr>
      <w:rFonts w:ascii="黑体" w:eastAsia="黑体"/>
      <w:b/>
      <w:sz w:val="28"/>
    </w:rPr>
  </w:style>
  <w:style w:type="paragraph" w:customStyle="1" w:styleId="82">
    <w:name w:val="标准文件_封面发布日期"/>
    <w:basedOn w:val="1"/>
    <w:autoRedefine/>
    <w:qFormat/>
    <w:uiPriority w:val="0"/>
    <w:pPr>
      <w:spacing w:line="310" w:lineRule="exact"/>
    </w:pPr>
    <w:rPr>
      <w:rFonts w:ascii="黑体" w:eastAsia="黑体"/>
      <w:kern w:val="0"/>
      <w:sz w:val="28"/>
    </w:rPr>
  </w:style>
  <w:style w:type="paragraph" w:customStyle="1" w:styleId="83">
    <w:name w:val="标准文件_封面密级"/>
    <w:basedOn w:val="1"/>
    <w:autoRedefine/>
    <w:qFormat/>
    <w:uiPriority w:val="0"/>
    <w:rPr>
      <w:rFonts w:eastAsia="黑体"/>
      <w:sz w:val="32"/>
    </w:rPr>
  </w:style>
  <w:style w:type="paragraph" w:customStyle="1" w:styleId="84">
    <w:name w:val="标准文件_封面实施日期"/>
    <w:basedOn w:val="1"/>
    <w:autoRedefine/>
    <w:qFormat/>
    <w:uiPriority w:val="0"/>
    <w:pPr>
      <w:spacing w:line="310" w:lineRule="exact"/>
      <w:jc w:val="right"/>
    </w:pPr>
    <w:rPr>
      <w:rFonts w:ascii="黑体" w:eastAsia="黑体"/>
      <w:sz w:val="28"/>
    </w:rPr>
  </w:style>
  <w:style w:type="paragraph" w:customStyle="1" w:styleId="85">
    <w:name w:val="标准文件_封面抬头"/>
    <w:basedOn w:val="38"/>
    <w:autoRedefine/>
    <w:qFormat/>
    <w:uiPriority w:val="0"/>
    <w:pPr>
      <w:adjustRightInd w:val="0"/>
      <w:spacing w:line="800" w:lineRule="exact"/>
      <w:ind w:firstLine="0" w:firstLineChars="0"/>
      <w:jc w:val="distribute"/>
    </w:pPr>
    <w:rPr>
      <w:rFonts w:ascii="黑体" w:eastAsia="黑体"/>
      <w:b/>
      <w:sz w:val="64"/>
    </w:rPr>
  </w:style>
  <w:style w:type="paragraph" w:customStyle="1" w:styleId="86">
    <w:name w:val="标准文件_附录标识"/>
    <w:next w:val="38"/>
    <w:autoRedefine/>
    <w:qFormat/>
    <w:uiPriority w:val="0"/>
    <w:pPr>
      <w:numPr>
        <w:ilvl w:val="0"/>
        <w:numId w:val="4"/>
      </w:numPr>
      <w:shd w:val="clear" w:color="FFFFFF" w:fill="FFFFFF"/>
      <w:tabs>
        <w:tab w:val="left" w:pos="6406"/>
      </w:tabs>
      <w:spacing w:before="560" w:after="120" w:afterLines="50"/>
      <w:ind w:left="0"/>
      <w:jc w:val="center"/>
      <w:outlineLvl w:val="0"/>
    </w:pPr>
    <w:rPr>
      <w:rFonts w:ascii="黑体" w:hAnsi="Times New Roman" w:eastAsia="黑体" w:cs="Times New Roman"/>
      <w:sz w:val="21"/>
      <w:lang w:val="en-US" w:eastAsia="zh-CN" w:bidi="ar-SA"/>
    </w:rPr>
  </w:style>
  <w:style w:type="paragraph" w:customStyle="1" w:styleId="87">
    <w:name w:val="标准文件_附录表标题"/>
    <w:next w:val="38"/>
    <w:autoRedefine/>
    <w:qFormat/>
    <w:uiPriority w:val="0"/>
    <w:pPr>
      <w:numPr>
        <w:ilvl w:val="1"/>
        <w:numId w:val="5"/>
      </w:numPr>
      <w:adjustRightInd w:val="0"/>
      <w:snapToGrid w:val="0"/>
      <w:spacing w:before="120" w:beforeLines="50" w:after="120" w:afterLines="50"/>
      <w:jc w:val="center"/>
      <w:textAlignment w:val="baseline"/>
    </w:pPr>
    <w:rPr>
      <w:rFonts w:ascii="黑体" w:hAnsi="Times New Roman" w:eastAsia="黑体" w:cs="Times New Roman"/>
      <w:kern w:val="21"/>
      <w:sz w:val="21"/>
      <w:lang w:val="en-US" w:eastAsia="zh-CN" w:bidi="ar-SA"/>
    </w:rPr>
  </w:style>
  <w:style w:type="paragraph" w:customStyle="1" w:styleId="88">
    <w:name w:val="标准文件_附录一级条标题"/>
    <w:next w:val="38"/>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9">
    <w:name w:val="标准文件_附录二级条标题"/>
    <w:basedOn w:val="88"/>
    <w:next w:val="38"/>
    <w:autoRedefine/>
    <w:qFormat/>
    <w:uiPriority w:val="0"/>
    <w:pPr>
      <w:widowControl/>
      <w:numPr>
        <w:ilvl w:val="2"/>
      </w:numPr>
      <w:wordWrap w:val="0"/>
      <w:overflowPunct w:val="0"/>
      <w:autoSpaceDE w:val="0"/>
      <w:autoSpaceDN w:val="0"/>
      <w:textAlignment w:val="baseline"/>
      <w:outlineLvl w:val="3"/>
    </w:pPr>
  </w:style>
  <w:style w:type="paragraph" w:customStyle="1" w:styleId="90">
    <w:name w:val="标准文件_附录公式"/>
    <w:basedOn w:val="67"/>
    <w:next w:val="67"/>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91">
    <w:name w:val="标准文件_附录三级条标题"/>
    <w:next w:val="38"/>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92">
    <w:name w:val="标准文件_附录四级条标题"/>
    <w:next w:val="38"/>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93">
    <w:name w:val="标准文件_附录图标题"/>
    <w:next w:val="38"/>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94">
    <w:name w:val="标准文件_附录五级条标题"/>
    <w:next w:val="38"/>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5">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6">
    <w:name w:val="正文文本 字符"/>
    <w:link w:val="14"/>
    <w:qFormat/>
    <w:uiPriority w:val="0"/>
    <w:rPr>
      <w:kern w:val="2"/>
      <w:sz w:val="21"/>
      <w:szCs w:val="21"/>
    </w:rPr>
  </w:style>
  <w:style w:type="paragraph" w:customStyle="1" w:styleId="97">
    <w:name w:val="标准文件_附录章标题"/>
    <w:next w:val="38"/>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8">
    <w:name w:val="标准文件_公式后的破折号"/>
    <w:basedOn w:val="38"/>
    <w:next w:val="38"/>
    <w:autoRedefine/>
    <w:qFormat/>
    <w:uiPriority w:val="0"/>
    <w:pPr>
      <w:ind w:left="488" w:leftChars="200" w:hanging="289" w:hangingChars="290"/>
    </w:pPr>
  </w:style>
  <w:style w:type="paragraph" w:customStyle="1" w:styleId="9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100">
    <w:name w:val="标准文件_目次、标准名称标题"/>
    <w:basedOn w:val="99"/>
    <w:next w:val="38"/>
    <w:autoRedefine/>
    <w:qFormat/>
    <w:uiPriority w:val="0"/>
    <w:pPr>
      <w:spacing w:line="460" w:lineRule="exact"/>
      <w:ind w:left="0" w:firstLine="0"/>
    </w:pPr>
  </w:style>
  <w:style w:type="paragraph" w:customStyle="1" w:styleId="10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10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103">
    <w:name w:val="标准文件_破折号列项（二级）"/>
    <w:basedOn w:val="102"/>
    <w:autoRedefine/>
    <w:qFormat/>
    <w:uiPriority w:val="0"/>
    <w:pPr>
      <w:numPr>
        <w:numId w:val="10"/>
      </w:numPr>
    </w:pPr>
  </w:style>
  <w:style w:type="character" w:customStyle="1" w:styleId="104">
    <w:name w:val="不明显参考1"/>
    <w:autoRedefine/>
    <w:qFormat/>
    <w:uiPriority w:val="31"/>
    <w:rPr>
      <w:smallCaps/>
      <w:color w:val="C0504D"/>
      <w:u w:val="single"/>
    </w:rPr>
  </w:style>
  <w:style w:type="paragraph" w:customStyle="1" w:styleId="105">
    <w:name w:val="标准文件_示例后续"/>
    <w:basedOn w:val="1"/>
    <w:autoRedefine/>
    <w:qFormat/>
    <w:uiPriority w:val="0"/>
    <w:pPr>
      <w:adjustRightInd/>
      <w:spacing w:line="240" w:lineRule="auto"/>
      <w:ind w:firstLine="200" w:firstLineChars="200"/>
    </w:pPr>
    <w:rPr>
      <w:sz w:val="18"/>
      <w:szCs w:val="24"/>
    </w:rPr>
  </w:style>
  <w:style w:type="paragraph" w:customStyle="1" w:styleId="106">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character" w:customStyle="1" w:styleId="107">
    <w:name w:val="脚注文本 字符"/>
    <w:link w:val="22"/>
    <w:autoRedefine/>
    <w:semiHidden/>
    <w:qFormat/>
    <w:uiPriority w:val="0"/>
    <w:rPr>
      <w:rFonts w:ascii="宋体"/>
      <w:kern w:val="2"/>
      <w:sz w:val="18"/>
      <w:szCs w:val="18"/>
    </w:rPr>
  </w:style>
  <w:style w:type="paragraph" w:customStyle="1" w:styleId="108">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9">
    <w:name w:val="标准文件_图表脚注"/>
    <w:basedOn w:val="1"/>
    <w:next w:val="38"/>
    <w:autoRedefine/>
    <w:qFormat/>
    <w:uiPriority w:val="0"/>
    <w:pPr>
      <w:numPr>
        <w:ilvl w:val="0"/>
        <w:numId w:val="12"/>
      </w:numPr>
      <w:spacing w:line="240" w:lineRule="auto"/>
      <w:jc w:val="left"/>
    </w:pPr>
    <w:rPr>
      <w:rFonts w:ascii="宋体" w:hAnsi="宋体"/>
      <w:sz w:val="18"/>
    </w:rPr>
  </w:style>
  <w:style w:type="character" w:customStyle="1" w:styleId="110">
    <w:name w:val="标准文件_图表脚注内容"/>
    <w:autoRedefine/>
    <w:qFormat/>
    <w:uiPriority w:val="0"/>
    <w:rPr>
      <w:rFonts w:ascii="宋体" w:hAnsi="宋体" w:eastAsia="宋体" w:cs="Times New Roman"/>
      <w:spacing w:val="0"/>
      <w:sz w:val="18"/>
      <w:vertAlign w:val="superscript"/>
    </w:rPr>
  </w:style>
  <w:style w:type="paragraph" w:customStyle="1" w:styleId="111">
    <w:name w:val="标准文件_一致程度"/>
    <w:basedOn w:val="1"/>
    <w:autoRedefine/>
    <w:qFormat/>
    <w:uiPriority w:val="0"/>
    <w:pPr>
      <w:spacing w:line="440" w:lineRule="exact"/>
      <w:jc w:val="center"/>
    </w:pPr>
    <w:rPr>
      <w:sz w:val="28"/>
    </w:rPr>
  </w:style>
  <w:style w:type="paragraph" w:customStyle="1" w:styleId="112">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3">
    <w:name w:val="标准文件_英文图表脚注"/>
    <w:basedOn w:val="67"/>
    <w:autoRedefine/>
    <w:qFormat/>
    <w:uiPriority w:val="0"/>
    <w:pPr>
      <w:widowControl/>
      <w:adjustRightInd/>
      <w:snapToGrid/>
      <w:spacing w:line="240" w:lineRule="auto"/>
      <w:ind w:left="79" w:hanging="79" w:hangingChars="80"/>
    </w:pPr>
    <w:rPr>
      <w:rFonts w:ascii="宋体" w:hAnsi="宋体"/>
    </w:rPr>
  </w:style>
  <w:style w:type="paragraph" w:customStyle="1" w:styleId="114">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5">
    <w:name w:val="标准文件_英文注："/>
    <w:basedOn w:val="1"/>
    <w:next w:val="38"/>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6">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7">
    <w:name w:val="标准文件_正文表标题"/>
    <w:next w:val="38"/>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公式"/>
    <w:basedOn w:val="1"/>
    <w:next w:val="67"/>
    <w:autoRedefine/>
    <w:qFormat/>
    <w:uiPriority w:val="0"/>
    <w:pPr>
      <w:tabs>
        <w:tab w:val="center" w:pos="4678"/>
        <w:tab w:val="right" w:leader="middleDot" w:pos="9356"/>
      </w:tabs>
      <w:spacing w:line="240" w:lineRule="auto"/>
    </w:pPr>
    <w:rPr>
      <w:rFonts w:ascii="宋体" w:hAnsi="宋体"/>
    </w:rPr>
  </w:style>
  <w:style w:type="paragraph" w:customStyle="1" w:styleId="119">
    <w:name w:val="标准文件_正文图标题"/>
    <w:next w:val="38"/>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20">
    <w:name w:val="标准文件_正文英文表标题"/>
    <w:next w:val="38"/>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1">
    <w:name w:val="标准文件_正文英文图标题"/>
    <w:next w:val="38"/>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2">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23">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4">
    <w:name w:val="发布部门"/>
    <w:next w:val="38"/>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5">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6">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7">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8">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9">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0">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1">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2">
    <w:name w:val="封面正文"/>
    <w:autoRedefine/>
    <w:qFormat/>
    <w:uiPriority w:val="0"/>
    <w:pPr>
      <w:jc w:val="both"/>
    </w:pPr>
    <w:rPr>
      <w:rFonts w:ascii="Times New Roman" w:hAnsi="Times New Roman" w:eastAsia="宋体" w:cs="Times New Roman"/>
      <w:lang w:val="en-US" w:eastAsia="zh-CN" w:bidi="ar-SA"/>
    </w:rPr>
  </w:style>
  <w:style w:type="paragraph" w:customStyle="1" w:styleId="133">
    <w:name w:val="附录二级无标题条"/>
    <w:basedOn w:val="1"/>
    <w:next w:val="38"/>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4">
    <w:name w:val="附录三级无标题条"/>
    <w:basedOn w:val="133"/>
    <w:next w:val="38"/>
    <w:autoRedefine/>
    <w:qFormat/>
    <w:uiPriority w:val="0"/>
    <w:pPr>
      <w:outlineLvl w:val="4"/>
    </w:pPr>
  </w:style>
  <w:style w:type="paragraph" w:customStyle="1" w:styleId="135">
    <w:name w:val="附录四级无标题条"/>
    <w:basedOn w:val="134"/>
    <w:next w:val="38"/>
    <w:autoRedefine/>
    <w:qFormat/>
    <w:uiPriority w:val="0"/>
    <w:pPr>
      <w:outlineLvl w:val="5"/>
    </w:pPr>
  </w:style>
  <w:style w:type="paragraph" w:customStyle="1" w:styleId="136">
    <w:name w:val="附录图"/>
    <w:next w:val="38"/>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7">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8">
    <w:name w:val="附录五级无标题条"/>
    <w:basedOn w:val="135"/>
    <w:next w:val="38"/>
    <w:autoRedefine/>
    <w:qFormat/>
    <w:uiPriority w:val="0"/>
    <w:pPr>
      <w:outlineLvl w:val="6"/>
    </w:pPr>
  </w:style>
  <w:style w:type="paragraph" w:customStyle="1" w:styleId="139">
    <w:name w:val="附录性质"/>
    <w:basedOn w:val="1"/>
    <w:autoRedefine/>
    <w:qFormat/>
    <w:uiPriority w:val="0"/>
    <w:pPr>
      <w:widowControl/>
      <w:adjustRightInd/>
      <w:jc w:val="center"/>
    </w:pPr>
    <w:rPr>
      <w:rFonts w:ascii="黑体" w:eastAsia="黑体"/>
    </w:rPr>
  </w:style>
  <w:style w:type="paragraph" w:customStyle="1" w:styleId="140">
    <w:name w:val="附录一级无标题条"/>
    <w:basedOn w:val="97"/>
    <w:next w:val="38"/>
    <w:autoRedefine/>
    <w:qFormat/>
    <w:uiPriority w:val="0"/>
    <w:pPr>
      <w:autoSpaceDN w:val="0"/>
      <w:outlineLvl w:val="2"/>
    </w:pPr>
    <w:rPr>
      <w:rFonts w:ascii="宋体" w:hAnsi="宋体" w:eastAsia="宋体"/>
    </w:rPr>
  </w:style>
  <w:style w:type="character" w:customStyle="1" w:styleId="141">
    <w:name w:val="个人答复风格"/>
    <w:autoRedefine/>
    <w:qFormat/>
    <w:uiPriority w:val="0"/>
    <w:rPr>
      <w:rFonts w:ascii="Arial" w:hAnsi="Arial" w:eastAsia="宋体" w:cs="Arial"/>
      <w:color w:val="auto"/>
      <w:spacing w:val="0"/>
      <w:sz w:val="20"/>
    </w:rPr>
  </w:style>
  <w:style w:type="character" w:customStyle="1" w:styleId="142">
    <w:name w:val="个人撰写风格"/>
    <w:autoRedefine/>
    <w:qFormat/>
    <w:uiPriority w:val="0"/>
    <w:rPr>
      <w:rFonts w:ascii="Arial" w:hAnsi="Arial" w:eastAsia="宋体" w:cs="Arial"/>
      <w:color w:val="auto"/>
      <w:spacing w:val="0"/>
      <w:sz w:val="20"/>
    </w:rPr>
  </w:style>
  <w:style w:type="paragraph" w:customStyle="1" w:styleId="143">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4">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5">
    <w:name w:val="列项·"/>
    <w:basedOn w:val="38"/>
    <w:autoRedefine/>
    <w:qFormat/>
    <w:uiPriority w:val="0"/>
    <w:pPr>
      <w:tabs>
        <w:tab w:val="left" w:pos="840"/>
      </w:tabs>
    </w:pPr>
  </w:style>
  <w:style w:type="paragraph" w:customStyle="1" w:styleId="146">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7">
    <w:name w:val="目录 21"/>
    <w:basedOn w:val="1"/>
    <w:next w:val="1"/>
    <w:autoRedefine/>
    <w:semiHidden/>
    <w:qFormat/>
    <w:uiPriority w:val="0"/>
    <w:pPr>
      <w:adjustRightInd/>
      <w:spacing w:line="240" w:lineRule="auto"/>
      <w:jc w:val="left"/>
    </w:pPr>
    <w:rPr>
      <w:bCs/>
      <w:iCs/>
    </w:rPr>
  </w:style>
  <w:style w:type="paragraph" w:customStyle="1" w:styleId="148">
    <w:name w:val="目录 31"/>
    <w:basedOn w:val="1"/>
    <w:next w:val="1"/>
    <w:autoRedefine/>
    <w:semiHidden/>
    <w:qFormat/>
    <w:uiPriority w:val="0"/>
    <w:pPr>
      <w:spacing w:line="240" w:lineRule="auto"/>
    </w:pPr>
    <w:rPr>
      <w:rFonts w:ascii="宋体" w:hAnsi="宋体"/>
      <w:iCs/>
    </w:rPr>
  </w:style>
  <w:style w:type="paragraph" w:customStyle="1" w:styleId="149">
    <w:name w:val="目录 41"/>
    <w:basedOn w:val="1"/>
    <w:next w:val="1"/>
    <w:autoRedefine/>
    <w:semiHidden/>
    <w:qFormat/>
    <w:uiPriority w:val="0"/>
    <w:pPr>
      <w:adjustRightInd/>
      <w:spacing w:line="240" w:lineRule="auto"/>
      <w:jc w:val="left"/>
    </w:pPr>
  </w:style>
  <w:style w:type="paragraph" w:customStyle="1" w:styleId="150">
    <w:name w:val="目录 51"/>
    <w:basedOn w:val="1"/>
    <w:next w:val="1"/>
    <w:autoRedefine/>
    <w:semiHidden/>
    <w:qFormat/>
    <w:uiPriority w:val="0"/>
    <w:pPr>
      <w:spacing w:line="240" w:lineRule="auto"/>
    </w:pPr>
    <w:rPr>
      <w:rFonts w:ascii="宋体" w:hAnsi="宋体"/>
    </w:rPr>
  </w:style>
  <w:style w:type="paragraph" w:customStyle="1" w:styleId="151">
    <w:name w:val="目录 61"/>
    <w:basedOn w:val="1"/>
    <w:next w:val="1"/>
    <w:autoRedefine/>
    <w:semiHidden/>
    <w:qFormat/>
    <w:uiPriority w:val="0"/>
    <w:pPr>
      <w:adjustRightInd/>
      <w:spacing w:line="240" w:lineRule="auto"/>
      <w:jc w:val="left"/>
    </w:pPr>
  </w:style>
  <w:style w:type="paragraph" w:customStyle="1" w:styleId="152">
    <w:name w:val="目录 71"/>
    <w:basedOn w:val="151"/>
    <w:autoRedefine/>
    <w:semiHidden/>
    <w:qFormat/>
    <w:uiPriority w:val="0"/>
    <w:pPr>
      <w:ind w:left="1260"/>
    </w:pPr>
  </w:style>
  <w:style w:type="paragraph" w:customStyle="1" w:styleId="153">
    <w:name w:val="目录 81"/>
    <w:basedOn w:val="152"/>
    <w:autoRedefine/>
    <w:semiHidden/>
    <w:qFormat/>
    <w:uiPriority w:val="0"/>
    <w:pPr>
      <w:ind w:left="1470"/>
    </w:pPr>
  </w:style>
  <w:style w:type="paragraph" w:customStyle="1" w:styleId="154">
    <w:name w:val="目录 91"/>
    <w:basedOn w:val="153"/>
    <w:autoRedefine/>
    <w:semiHidden/>
    <w:qFormat/>
    <w:uiPriority w:val="0"/>
    <w:pPr>
      <w:ind w:left="1680"/>
    </w:pPr>
  </w:style>
  <w:style w:type="paragraph" w:customStyle="1" w:styleId="155">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6">
    <w:name w:val="其他发布部门"/>
    <w:basedOn w:val="124"/>
    <w:autoRedefine/>
    <w:qFormat/>
    <w:uiPriority w:val="0"/>
    <w:pPr>
      <w:framePr w:wrap="around"/>
      <w:spacing w:line="0" w:lineRule="atLeast"/>
    </w:pPr>
    <w:rPr>
      <w:rFonts w:ascii="黑体" w:eastAsia="黑体"/>
      <w:b w:val="0"/>
    </w:rPr>
  </w:style>
  <w:style w:type="paragraph" w:customStyle="1" w:styleId="157">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8">
    <w:name w:val="实施日期"/>
    <w:basedOn w:val="125"/>
    <w:autoRedefine/>
    <w:qFormat/>
    <w:uiPriority w:val="0"/>
    <w:pPr>
      <w:framePr w:hSpace="0" w:wrap="around" w:xAlign="right"/>
      <w:jc w:val="right"/>
    </w:pPr>
  </w:style>
  <w:style w:type="paragraph" w:customStyle="1" w:styleId="159">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60">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38"/>
    <w:autoRedefine/>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autoRedefine/>
    <w:qFormat/>
    <w:uiPriority w:val="0"/>
    <w:pPr>
      <w:numPr>
        <w:ilvl w:val="6"/>
        <w:numId w:val="20"/>
      </w:numPr>
      <w:adjustRightInd/>
    </w:pPr>
    <w:rPr>
      <w:szCs w:val="24"/>
    </w:rPr>
  </w:style>
  <w:style w:type="paragraph" w:customStyle="1" w:styleId="163">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4">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autoRedefine/>
    <w:qFormat/>
    <w:uiPriority w:val="0"/>
    <w:pPr>
      <w:ind w:left="1406" w:leftChars="0" w:hanging="499" w:firstLineChars="0"/>
    </w:pPr>
  </w:style>
  <w:style w:type="paragraph" w:customStyle="1" w:styleId="166">
    <w:name w:val="标准文件_一级无标题"/>
    <w:basedOn w:val="41"/>
    <w:autoRedefine/>
    <w:qFormat/>
    <w:uiPriority w:val="0"/>
    <w:pPr>
      <w:spacing w:before="0" w:beforeLines="0" w:after="0" w:afterLines="0"/>
      <w:outlineLvl w:val="9"/>
    </w:pPr>
    <w:rPr>
      <w:rFonts w:ascii="宋体" w:eastAsia="宋体"/>
    </w:rPr>
  </w:style>
  <w:style w:type="paragraph" w:customStyle="1" w:styleId="167">
    <w:name w:val="标准文件_五级无标题"/>
    <w:basedOn w:val="44"/>
    <w:autoRedefine/>
    <w:qFormat/>
    <w:uiPriority w:val="0"/>
    <w:pPr>
      <w:spacing w:before="0" w:beforeLines="0" w:after="0" w:afterLines="0"/>
      <w:outlineLvl w:val="9"/>
    </w:pPr>
    <w:rPr>
      <w:rFonts w:ascii="宋体" w:eastAsia="宋体"/>
    </w:rPr>
  </w:style>
  <w:style w:type="paragraph" w:customStyle="1" w:styleId="168">
    <w:name w:val="标准文件_三级无标题"/>
    <w:basedOn w:val="42"/>
    <w:autoRedefine/>
    <w:qFormat/>
    <w:uiPriority w:val="0"/>
    <w:pPr>
      <w:spacing w:before="0" w:beforeLines="0" w:after="0" w:afterLines="0"/>
      <w:outlineLvl w:val="9"/>
    </w:pPr>
    <w:rPr>
      <w:rFonts w:ascii="宋体" w:eastAsia="宋体"/>
    </w:rPr>
  </w:style>
  <w:style w:type="paragraph" w:customStyle="1" w:styleId="169">
    <w:name w:val="标准文件_二级无标题"/>
    <w:basedOn w:val="37"/>
    <w:autoRedefine/>
    <w:qFormat/>
    <w:uiPriority w:val="0"/>
    <w:pPr>
      <w:spacing w:before="0" w:beforeLines="0" w:after="0" w:afterLines="0"/>
      <w:outlineLvl w:val="9"/>
    </w:pPr>
    <w:rPr>
      <w:rFonts w:ascii="宋体" w:eastAsia="宋体"/>
    </w:rPr>
  </w:style>
  <w:style w:type="paragraph" w:customStyle="1" w:styleId="170">
    <w:name w:val="标准_四级无标题"/>
    <w:basedOn w:val="43"/>
    <w:next w:val="38"/>
    <w:autoRedefine/>
    <w:qFormat/>
    <w:uiPriority w:val="0"/>
    <w:rPr>
      <w:rFonts w:eastAsia="宋体"/>
    </w:rPr>
  </w:style>
  <w:style w:type="paragraph" w:customStyle="1" w:styleId="171">
    <w:name w:val="标准文件_四级无标题"/>
    <w:basedOn w:val="43"/>
    <w:autoRedefine/>
    <w:qFormat/>
    <w:uiPriority w:val="0"/>
    <w:pPr>
      <w:spacing w:before="0" w:beforeLines="0" w:after="0" w:afterLines="0"/>
      <w:outlineLvl w:val="9"/>
    </w:pPr>
    <w:rPr>
      <w:rFonts w:ascii="宋体" w:hAnsi="黑体" w:eastAsia="宋体"/>
      <w:szCs w:val="52"/>
    </w:rPr>
  </w:style>
  <w:style w:type="paragraph" w:customStyle="1" w:styleId="172">
    <w:name w:val="标准文件_大写罗马数字编号列项"/>
    <w:basedOn w:val="38"/>
    <w:autoRedefine/>
    <w:qFormat/>
    <w:uiPriority w:val="0"/>
    <w:pPr>
      <w:numPr>
        <w:ilvl w:val="0"/>
        <w:numId w:val="23"/>
      </w:numPr>
      <w:ind w:firstLine="0" w:firstLineChars="0"/>
    </w:pPr>
    <w:rPr>
      <w:rFonts w:ascii="Times New Roman" w:cs="Arial"/>
      <w:szCs w:val="28"/>
    </w:rPr>
  </w:style>
  <w:style w:type="paragraph" w:customStyle="1" w:styleId="173">
    <w:name w:val="标准文件_小写罗马数字编号列项"/>
    <w:basedOn w:val="38"/>
    <w:autoRedefine/>
    <w:qFormat/>
    <w:uiPriority w:val="0"/>
    <w:pPr>
      <w:numPr>
        <w:ilvl w:val="0"/>
        <w:numId w:val="24"/>
      </w:numPr>
      <w:ind w:firstLine="0" w:firstLineChars="0"/>
    </w:pPr>
    <w:rPr>
      <w:rFonts w:cs="Arial"/>
      <w:szCs w:val="28"/>
    </w:rPr>
  </w:style>
  <w:style w:type="paragraph" w:customStyle="1" w:styleId="174">
    <w:name w:val="标准文件_附录标题"/>
    <w:basedOn w:val="86"/>
    <w:autoRedefine/>
    <w:qFormat/>
    <w:uiPriority w:val="0"/>
    <w:pPr>
      <w:numPr>
        <w:numId w:val="0"/>
      </w:numPr>
      <w:spacing w:after="280"/>
      <w:outlineLvl w:val="9"/>
    </w:pPr>
  </w:style>
  <w:style w:type="paragraph" w:customStyle="1" w:styleId="175">
    <w:name w:val="标准文件_二级项"/>
    <w:autoRedefine/>
    <w:qFormat/>
    <w:uiPriority w:val="0"/>
    <w:rPr>
      <w:rFonts w:ascii="宋体" w:hAnsi="Times New Roman" w:eastAsia="宋体" w:cs="Times New Roman"/>
      <w:sz w:val="21"/>
      <w:lang w:val="en-US" w:eastAsia="zh-CN" w:bidi="ar-SA"/>
    </w:rPr>
  </w:style>
  <w:style w:type="paragraph" w:customStyle="1" w:styleId="176">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7">
    <w:name w:val="图表脚注说明"/>
    <w:basedOn w:val="1"/>
    <w:next w:val="38"/>
    <w:autoRedefine/>
    <w:qFormat/>
    <w:uiPriority w:val="0"/>
    <w:pPr>
      <w:numPr>
        <w:ilvl w:val="0"/>
        <w:numId w:val="25"/>
      </w:numPr>
      <w:adjustRightInd/>
      <w:spacing w:line="240" w:lineRule="auto"/>
    </w:pPr>
    <w:rPr>
      <w:rFonts w:ascii="宋体" w:hAnsi="Times New Roman"/>
      <w:sz w:val="18"/>
      <w:szCs w:val="18"/>
    </w:rPr>
  </w:style>
  <w:style w:type="paragraph" w:customStyle="1" w:styleId="178">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9">
    <w:name w:val="标准文件_索引字母"/>
    <w:next w:val="38"/>
    <w:autoRedefine/>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38"/>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38"/>
    <w:autoRedefine/>
    <w:qFormat/>
    <w:uiPriority w:val="0"/>
    <w:pPr>
      <w:ind w:firstLine="0" w:firstLineChars="0"/>
      <w:jc w:val="center"/>
    </w:pPr>
    <w:rPr>
      <w:sz w:val="18"/>
    </w:rPr>
  </w:style>
  <w:style w:type="paragraph" w:customStyle="1" w:styleId="183">
    <w:name w:val="标准文件_注："/>
    <w:next w:val="38"/>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38"/>
    <w:autoRedefine/>
    <w:qFormat/>
    <w:uiPriority w:val="0"/>
    <w:pPr>
      <w:ind w:firstLine="420"/>
    </w:pPr>
    <w:rPr>
      <w:sz w:val="18"/>
    </w:rPr>
  </w:style>
  <w:style w:type="paragraph" w:customStyle="1" w:styleId="187">
    <w:name w:val="标准文件_示例×："/>
    <w:basedOn w:val="1"/>
    <w:next w:val="186"/>
    <w:autoRedefine/>
    <w:qFormat/>
    <w:uiPriority w:val="0"/>
    <w:pPr>
      <w:widowControl/>
      <w:numPr>
        <w:ilvl w:val="0"/>
        <w:numId w:val="29"/>
      </w:numPr>
      <w:adjustRightInd/>
      <w:spacing w:line="240" w:lineRule="auto"/>
    </w:pPr>
    <w:rPr>
      <w:rFonts w:ascii="宋体" w:hAnsi="Times New Roman"/>
      <w:kern w:val="0"/>
      <w:sz w:val="18"/>
      <w:szCs w:val="18"/>
    </w:rPr>
  </w:style>
  <w:style w:type="paragraph" w:customStyle="1" w:styleId="188">
    <w:name w:val="标准文件_表格续"/>
    <w:basedOn w:val="38"/>
    <w:next w:val="38"/>
    <w:autoRedefine/>
    <w:qFormat/>
    <w:uiPriority w:val="0"/>
    <w:pPr>
      <w:jc w:val="center"/>
    </w:pPr>
    <w:rPr>
      <w:rFonts w:ascii="黑体" w:hAnsi="黑体" w:eastAsia="黑体"/>
    </w:rPr>
  </w:style>
  <w:style w:type="character" w:styleId="189">
    <w:name w:val="Placeholder Text"/>
    <w:basedOn w:val="30"/>
    <w:autoRedefine/>
    <w:semiHidden/>
    <w:qFormat/>
    <w:uiPriority w:val="99"/>
    <w:rPr>
      <w:color w:val="808080"/>
    </w:rPr>
  </w:style>
  <w:style w:type="paragraph" w:customStyle="1" w:styleId="190">
    <w:name w:val="标准文件_二级项2"/>
    <w:basedOn w:val="38"/>
    <w:autoRedefine/>
    <w:qFormat/>
    <w:uiPriority w:val="0"/>
    <w:pPr>
      <w:numPr>
        <w:ilvl w:val="1"/>
        <w:numId w:val="21"/>
      </w:numPr>
      <w:ind w:firstLine="0" w:firstLineChars="0"/>
    </w:pPr>
  </w:style>
  <w:style w:type="paragraph" w:customStyle="1" w:styleId="191">
    <w:name w:val="标准文件_三级项2"/>
    <w:basedOn w:val="38"/>
    <w:autoRedefine/>
    <w:qFormat/>
    <w:uiPriority w:val="0"/>
    <w:pPr>
      <w:numPr>
        <w:ilvl w:val="0"/>
        <w:numId w:val="30"/>
      </w:numPr>
      <w:spacing w:line="300" w:lineRule="exact"/>
      <w:ind w:firstLineChars="0"/>
    </w:pPr>
    <w:rPr>
      <w:rFonts w:ascii="Times New Roman"/>
    </w:rPr>
  </w:style>
  <w:style w:type="paragraph" w:customStyle="1" w:styleId="192">
    <w:name w:val="标准文件_一级项2"/>
    <w:basedOn w:val="38"/>
    <w:autoRedefine/>
    <w:qFormat/>
    <w:uiPriority w:val="0"/>
    <w:pPr>
      <w:numPr>
        <w:ilvl w:val="0"/>
        <w:numId w:val="31"/>
      </w:numPr>
      <w:spacing w:line="300" w:lineRule="exact"/>
      <w:ind w:firstLineChars="0"/>
    </w:pPr>
    <w:rPr>
      <w:rFonts w:ascii="Times New Roman"/>
    </w:rPr>
  </w:style>
  <w:style w:type="paragraph" w:customStyle="1" w:styleId="193">
    <w:name w:val="标准文件_提示"/>
    <w:basedOn w:val="38"/>
    <w:next w:val="38"/>
    <w:autoRedefine/>
    <w:qFormat/>
    <w:uiPriority w:val="0"/>
    <w:pPr>
      <w:ind w:firstLine="420"/>
    </w:pPr>
    <w:rPr>
      <w:rFonts w:ascii="黑体" w:eastAsia="黑体"/>
    </w:rPr>
  </w:style>
  <w:style w:type="character" w:customStyle="1" w:styleId="194">
    <w:name w:val="标准文件_来源"/>
    <w:basedOn w:val="30"/>
    <w:autoRedefine/>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5"/>
    <w:autoRedefine/>
    <w:qFormat/>
    <w:uiPriority w:val="0"/>
    <w:pPr>
      <w:framePr w:w="3997" w:h="471" w:hRule="exact" w:hSpace="0" w:vSpace="181" w:wrap="around" w:vAnchor="page" w:hAnchor="page" w:x="1419" w:y="14097"/>
    </w:pPr>
  </w:style>
  <w:style w:type="paragraph" w:customStyle="1" w:styleId="197">
    <w:name w:val="其他实施日期"/>
    <w:basedOn w:val="158"/>
    <w:autoRedefine/>
    <w:qFormat/>
    <w:uiPriority w:val="0"/>
    <w:pPr>
      <w:framePr w:w="3997" w:h="471" w:hRule="exact" w:vSpace="181" w:wrap="around" w:vAnchor="page" w:hAnchor="page" w:x="7089" w:y="14097"/>
    </w:pPr>
  </w:style>
  <w:style w:type="paragraph" w:customStyle="1" w:styleId="198">
    <w:name w:val="标准文件_文件编号"/>
    <w:basedOn w:val="38"/>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autoRedefine/>
    <w:qFormat/>
    <w:uiPriority w:val="0"/>
    <w:pPr>
      <w:framePr/>
      <w:spacing w:before="57"/>
    </w:pPr>
    <w:rPr>
      <w:sz w:val="21"/>
    </w:rPr>
  </w:style>
  <w:style w:type="paragraph" w:customStyle="1" w:styleId="200">
    <w:name w:val="标准文件_文件名称"/>
    <w:basedOn w:val="38"/>
    <w:next w:val="38"/>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38"/>
    <w:next w:val="38"/>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38"/>
    <w:next w:val="38"/>
    <w:autoRedefine/>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38"/>
    <w:next w:val="38"/>
    <w:autoRedefine/>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38"/>
    <w:next w:val="38"/>
    <w:autoRedefine/>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38"/>
    <w:next w:val="38"/>
    <w:autoRedefine/>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38"/>
    <w:next w:val="38"/>
    <w:autoRedefine/>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38"/>
    <w:next w:val="38"/>
    <w:autoRedefine/>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38"/>
    <w:autoRedefine/>
    <w:qFormat/>
    <w:uiPriority w:val="0"/>
    <w:pPr>
      <w:ind w:left="811" w:firstLine="0" w:firstLineChars="0"/>
    </w:pPr>
    <w:rPr>
      <w:sz w:val="18"/>
    </w:rPr>
  </w:style>
  <w:style w:type="paragraph" w:customStyle="1" w:styleId="209">
    <w:name w:val="标准文件_注X后"/>
    <w:basedOn w:val="38"/>
    <w:autoRedefine/>
    <w:qFormat/>
    <w:uiPriority w:val="0"/>
    <w:pPr>
      <w:ind w:left="811" w:firstLine="0" w:firstLineChars="0"/>
    </w:pPr>
    <w:rPr>
      <w:sz w:val="18"/>
    </w:rPr>
  </w:style>
  <w:style w:type="paragraph" w:customStyle="1" w:styleId="210">
    <w:name w:val="标准文件_示例后"/>
    <w:basedOn w:val="38"/>
    <w:autoRedefine/>
    <w:qFormat/>
    <w:uiPriority w:val="0"/>
    <w:pPr>
      <w:ind w:left="964" w:firstLine="0" w:firstLineChars="0"/>
    </w:pPr>
    <w:rPr>
      <w:sz w:val="18"/>
    </w:rPr>
  </w:style>
  <w:style w:type="paragraph" w:customStyle="1" w:styleId="211">
    <w:name w:val="标准文件_示例X后"/>
    <w:basedOn w:val="38"/>
    <w:link w:val="212"/>
    <w:autoRedefine/>
    <w:qFormat/>
    <w:uiPriority w:val="0"/>
    <w:pPr>
      <w:ind w:left="1049" w:firstLine="0" w:firstLineChars="0"/>
    </w:pPr>
    <w:rPr>
      <w:sz w:val="18"/>
    </w:rPr>
  </w:style>
  <w:style w:type="character" w:customStyle="1" w:styleId="212">
    <w:name w:val="标准文件_示例X后 字符"/>
    <w:basedOn w:val="45"/>
    <w:link w:val="211"/>
    <w:autoRedefine/>
    <w:qFormat/>
    <w:uiPriority w:val="0"/>
    <w:rPr>
      <w:rFonts w:ascii="宋体" w:hAnsi="Times New Roman"/>
      <w:sz w:val="18"/>
    </w:rPr>
  </w:style>
  <w:style w:type="paragraph" w:customStyle="1" w:styleId="213">
    <w:name w:val="标准文件_索引项"/>
    <w:basedOn w:val="38"/>
    <w:next w:val="38"/>
    <w:autoRedefine/>
    <w:qFormat/>
    <w:uiPriority w:val="0"/>
    <w:pPr>
      <w:tabs>
        <w:tab w:val="right" w:leader="dot" w:pos="9356"/>
      </w:tabs>
      <w:ind w:left="210" w:hanging="210" w:firstLineChars="0"/>
      <w:jc w:val="left"/>
    </w:pPr>
  </w:style>
  <w:style w:type="paragraph" w:customStyle="1" w:styleId="214">
    <w:name w:val="标准文件_附录一级无标题"/>
    <w:basedOn w:val="88"/>
    <w:autoRedefine/>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9"/>
    <w:autoRedefine/>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91"/>
    <w:autoRedefine/>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92"/>
    <w:autoRedefine/>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94"/>
    <w:autoRedefine/>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38"/>
    <w:autoRedefine/>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38"/>
    <w:autoRedefine/>
    <w:qFormat/>
    <w:uiPriority w:val="0"/>
    <w:pPr>
      <w:spacing w:before="0" w:beforeLines="0" w:after="0" w:afterLines="0" w:line="276" w:lineRule="auto"/>
    </w:pPr>
    <w:rPr>
      <w:rFonts w:ascii="宋体" w:eastAsia="宋体"/>
    </w:rPr>
  </w:style>
  <w:style w:type="paragraph" w:customStyle="1" w:styleId="221">
    <w:name w:val="标准文件_引言三级无标题"/>
    <w:basedOn w:val="205"/>
    <w:autoRedefine/>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38"/>
    <w:autoRedefine/>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38"/>
    <w:autoRedefine/>
    <w:qFormat/>
    <w:uiPriority w:val="0"/>
    <w:pPr>
      <w:spacing w:before="0" w:beforeLines="0" w:after="0" w:afterLines="0" w:line="276" w:lineRule="auto"/>
    </w:pPr>
    <w:rPr>
      <w:rFonts w:ascii="宋体" w:eastAsia="宋体"/>
    </w:rPr>
  </w:style>
  <w:style w:type="paragraph" w:customStyle="1" w:styleId="224">
    <w:name w:val="标准文件_索引标题"/>
    <w:basedOn w:val="74"/>
    <w:next w:val="38"/>
    <w:autoRedefine/>
    <w:qFormat/>
    <w:uiPriority w:val="0"/>
    <w:rPr>
      <w:rFonts w:hAnsi="黑体"/>
    </w:rPr>
  </w:style>
  <w:style w:type="paragraph" w:customStyle="1" w:styleId="225">
    <w:name w:val="标准文件_脚注内容"/>
    <w:basedOn w:val="38"/>
    <w:autoRedefine/>
    <w:qFormat/>
    <w:uiPriority w:val="0"/>
    <w:pPr>
      <w:ind w:left="400" w:leftChars="200" w:hanging="200" w:hangingChars="200"/>
    </w:pPr>
    <w:rPr>
      <w:sz w:val="15"/>
    </w:rPr>
  </w:style>
  <w:style w:type="paragraph" w:customStyle="1" w:styleId="226">
    <w:name w:val="标准文件_术语条一"/>
    <w:basedOn w:val="166"/>
    <w:next w:val="38"/>
    <w:autoRedefine/>
    <w:qFormat/>
    <w:uiPriority w:val="0"/>
    <w:rPr>
      <w:rFonts w:ascii="黑体" w:hAnsi="黑体" w:eastAsia="黑体"/>
    </w:rPr>
  </w:style>
  <w:style w:type="paragraph" w:customStyle="1" w:styleId="227">
    <w:name w:val="标准文件_术语条二"/>
    <w:basedOn w:val="169"/>
    <w:next w:val="38"/>
    <w:autoRedefine/>
    <w:qFormat/>
    <w:uiPriority w:val="0"/>
  </w:style>
  <w:style w:type="paragraph" w:customStyle="1" w:styleId="228">
    <w:name w:val="标准文件_术语条三"/>
    <w:basedOn w:val="168"/>
    <w:next w:val="38"/>
    <w:autoRedefine/>
    <w:qFormat/>
    <w:uiPriority w:val="0"/>
  </w:style>
  <w:style w:type="paragraph" w:customStyle="1" w:styleId="229">
    <w:name w:val="标准文件_术语条四"/>
    <w:basedOn w:val="171"/>
    <w:next w:val="38"/>
    <w:autoRedefine/>
    <w:qFormat/>
    <w:uiPriority w:val="0"/>
  </w:style>
  <w:style w:type="paragraph" w:customStyle="1" w:styleId="230">
    <w:name w:val="标准文件_术语条五"/>
    <w:basedOn w:val="167"/>
    <w:next w:val="38"/>
    <w:autoRedefine/>
    <w:qFormat/>
    <w:uiPriority w:val="0"/>
  </w:style>
  <w:style w:type="paragraph" w:customStyle="1" w:styleId="231">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autoRedefine/>
    <w:qFormat/>
    <w:uiPriority w:val="0"/>
    <w:rPr>
      <w:rFonts w:ascii="黑体" w:eastAsia="黑体"/>
      <w:spacing w:val="85"/>
      <w:w w:val="100"/>
      <w:position w:val="3"/>
      <w:sz w:val="28"/>
      <w:szCs w:val="28"/>
    </w:rPr>
  </w:style>
  <w:style w:type="character" w:customStyle="1" w:styleId="233">
    <w:name w:val="批注文字 字符"/>
    <w:basedOn w:val="30"/>
    <w:link w:val="13"/>
    <w:autoRedefine/>
    <w:qFormat/>
    <w:uiPriority w:val="99"/>
    <w:rPr>
      <w:kern w:val="2"/>
      <w:sz w:val="21"/>
      <w:szCs w:val="21"/>
    </w:rPr>
  </w:style>
  <w:style w:type="character" w:customStyle="1" w:styleId="234">
    <w:name w:val="批注主题 字符"/>
    <w:basedOn w:val="233"/>
    <w:link w:val="27"/>
    <w:autoRedefine/>
    <w:semiHidden/>
    <w:qFormat/>
    <w:uiPriority w:val="99"/>
    <w:rPr>
      <w:b/>
      <w:bCs/>
      <w:kern w:val="2"/>
      <w:sz w:val="21"/>
      <w:szCs w:val="21"/>
    </w:rPr>
  </w:style>
  <w:style w:type="paragraph" w:customStyle="1" w:styleId="235">
    <w:name w:val="段"/>
    <w:basedOn w:val="1"/>
    <w:qFormat/>
    <w:uiPriority w:val="0"/>
    <w:pPr>
      <w:widowControl/>
      <w:autoSpaceDE w:val="0"/>
      <w:autoSpaceDN w:val="0"/>
      <w:adjustRightInd/>
      <w:spacing w:line="240" w:lineRule="auto"/>
      <w:ind w:firstLine="420" w:firstLineChars="200"/>
    </w:pPr>
    <w:rPr>
      <w:rFonts w:ascii="宋体" w:hAnsi="Times New Roman"/>
      <w:kern w:val="0"/>
    </w:rPr>
  </w:style>
  <w:style w:type="paragraph" w:customStyle="1" w:styleId="236">
    <w:name w:val="段落"/>
    <w:qFormat/>
    <w:uiPriority w:val="0"/>
    <w:pPr>
      <w:autoSpaceDE w:val="0"/>
      <w:autoSpaceDN w:val="0"/>
      <w:ind w:firstLine="420" w:firstLineChars="200"/>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glossaryDocument" Target="glossary/document.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3.jpeg"/><Relationship Id="rId18" Type="http://schemas.openxmlformats.org/officeDocument/2006/relationships/image" Target="media/image2.png"/><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4bf73ba-6bc4-473b-8cc9-15f33232e07e}"/>
        <w:style w:val=""/>
        <w:category>
          <w:name w:val="常规"/>
          <w:gallery w:val="placeholder"/>
        </w:category>
        <w:types>
          <w:type w:val="bbPlcHdr"/>
        </w:types>
        <w:behaviors>
          <w:behavior w:val="content"/>
        </w:behaviors>
        <w:description w:val=""/>
        <w:guid w:val="{54BF73BA-6BC4-473B-8CC9-15F33232E07E}"/>
      </w:docPartPr>
      <w:docPartBody>
        <w:p w14:paraId="0932633F">
          <w:pPr>
            <w:pStyle w:val="5"/>
            <w:rPr>
              <w:rFonts w:hint="eastAsia"/>
            </w:rPr>
          </w:pPr>
          <w:r>
            <w:rPr>
              <w:rStyle w:val="4"/>
              <w:rFonts w:hint="eastAsia"/>
            </w:rPr>
            <w:t>单击或点击此处输入文字。</w:t>
          </w:r>
        </w:p>
      </w:docPartBody>
    </w:docPart>
    <w:docPart>
      <w:docPartPr>
        <w:name w:val="{47bb8afb-d006-40d7-8b1c-a234a0ec1b68}"/>
        <w:style w:val=""/>
        <w:category>
          <w:name w:val="常规"/>
          <w:gallery w:val="placeholder"/>
        </w:category>
        <w:types>
          <w:type w:val="bbPlcHdr"/>
        </w:types>
        <w:behaviors>
          <w:behavior w:val="content"/>
        </w:behaviors>
        <w:description w:val=""/>
        <w:guid w:val="{47BB8AFB-D006-40D7-8B1C-A234A0EC1B68}"/>
      </w:docPartPr>
      <w:docPartBody>
        <w:p w14:paraId="56A5E9EA">
          <w:pPr>
            <w:pStyle w:val="6"/>
            <w:rPr>
              <w:rFonts w:hint="eastAsia"/>
            </w:rPr>
          </w:pPr>
          <w:r>
            <w:rPr>
              <w:rStyle w:val="4"/>
              <w:rFonts w:hint="eastAsia"/>
            </w:rPr>
            <w:t>选择一项。</w:t>
          </w:r>
        </w:p>
      </w:docPartBody>
    </w:docPart>
    <w:docPart>
      <w:docPartPr>
        <w:name w:val="{37c7987a-7cad-48c0-b676-2e2c5a845032}"/>
        <w:style w:val=""/>
        <w:category>
          <w:name w:val="常规"/>
          <w:gallery w:val="placeholder"/>
        </w:category>
        <w:types>
          <w:type w:val="bbPlcHdr"/>
        </w:types>
        <w:behaviors>
          <w:behavior w:val="content"/>
        </w:behaviors>
        <w:description w:val=""/>
        <w:guid w:val="{37C7987A-7CAD-48C0-B676-2E2C5A845032}"/>
      </w:docPartPr>
      <w:docPartBody>
        <w:p w14:paraId="6A55604A">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CF3"/>
    <w:rsid w:val="00071E60"/>
    <w:rsid w:val="000B595D"/>
    <w:rsid w:val="000D3261"/>
    <w:rsid w:val="001701A6"/>
    <w:rsid w:val="0018250E"/>
    <w:rsid w:val="00196583"/>
    <w:rsid w:val="002352F4"/>
    <w:rsid w:val="00265BED"/>
    <w:rsid w:val="0035502A"/>
    <w:rsid w:val="00452C40"/>
    <w:rsid w:val="006D2324"/>
    <w:rsid w:val="008209AD"/>
    <w:rsid w:val="00892CF3"/>
    <w:rsid w:val="008B12A3"/>
    <w:rsid w:val="008C28F6"/>
    <w:rsid w:val="008E03FF"/>
    <w:rsid w:val="00984171"/>
    <w:rsid w:val="00992C40"/>
    <w:rsid w:val="00C7569E"/>
    <w:rsid w:val="00FB6A85"/>
    <w:rsid w:val="00FD7B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autoRedefin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C136BBCC26A04C629BDF0E7FAF4569AB"/>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D8926A9218B0410FA52AA8920ED3F251"/>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191143434E65404793BC34531B1183BD"/>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FD2AE6-9A5E-4DA7-8408-764E2E7539A8}">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11</Pages>
  <Words>6913</Words>
  <Characters>7467</Characters>
  <Lines>343</Lines>
  <Paragraphs>425</Paragraphs>
  <TotalTime>53</TotalTime>
  <ScaleCrop>false</ScaleCrop>
  <LinksUpToDate>false</LinksUpToDate>
  <CharactersWithSpaces>7714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2024-04-02T02:04:00Z</dcterms:created>
  <dc:creator>WuYong</dc:creator>
  <dc:description>&lt;config cover="true" show_menu="true" version="1.0.0" doctype="SDKXY"&gt;_x000d_
&lt;/config&gt;</dc:description>
  <cp:lastModifiedBy>吴勇</cp:lastModifiedBy>
  <cp:lastPrinted>2021-02-02T08:22:00Z</cp:lastPrinted>
  <dcterms:modified xsi:type="dcterms:W3CDTF">2025-07-07T09:05:01Z</dcterms:modified>
  <dc:title>团体标准</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2052-12.1.0.21915</vt:lpwstr>
  </property>
  <property fmtid="{D5CDD505-2E9C-101B-9397-08002B2CF9AE}" pid="15" name="ICV">
    <vt:lpwstr>906D3A7D9C964E9DAC25870DDCDE2B84_13</vt:lpwstr>
  </property>
  <property fmtid="{D5CDD505-2E9C-101B-9397-08002B2CF9AE}" pid="16" name="KSOTemplateDocerSaveRecord">
    <vt:lpwstr>eyJoZGlkIjoiODIwN2QzZWEyYWIxODZiZjA0MjIwNjBlZjFkMjk4NWYiLCJ1c2VySWQiOiIyOTY3MzMxOSJ9</vt:lpwstr>
  </property>
</Properties>
</file>